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B1F8C">
      <w:pPr>
        <w:widowControl w:val="0"/>
        <w:wordWrap/>
        <w:adjustRightInd/>
        <w:snapToGrid w:val="0"/>
        <w:spacing w:line="240" w:lineRule="auto"/>
        <w:ind w:firstLine="0" w:firstLineChars="0"/>
        <w:jc w:val="center"/>
        <w:textAlignment w:val="auto"/>
        <w:rPr>
          <w:rFonts w:hint="eastAsia" w:ascii="方正小标宋简体" w:hAnsi="方正小标宋简体" w:eastAsia="方正小标宋简体" w:cs="方正小标宋简体"/>
          <w:color w:val="000000"/>
          <w:sz w:val="44"/>
          <w:szCs w:val="44"/>
          <w:lang w:eastAsia="zh-CN"/>
        </w:rPr>
      </w:pPr>
      <w:bookmarkStart w:id="14" w:name="_GoBack"/>
      <w:r>
        <w:rPr>
          <w:rFonts w:hint="eastAsia" w:ascii="方正小标宋简体" w:hAnsi="方正小标宋简体" w:eastAsia="方正小标宋简体" w:cs="方正小标宋简体"/>
          <w:color w:val="000000"/>
          <w:spacing w:val="17"/>
          <w:sz w:val="44"/>
          <w:szCs w:val="44"/>
          <w:lang w:eastAsia="zh-CN"/>
        </w:rPr>
        <w:t>江苏金融业支持民营经</w:t>
      </w:r>
      <w:r>
        <w:rPr>
          <w:rFonts w:hint="eastAsia" w:ascii="方正小标宋简体" w:hAnsi="方正小标宋简体" w:eastAsia="方正小标宋简体" w:cs="方正小标宋简体"/>
          <w:color w:val="000000"/>
          <w:sz w:val="44"/>
          <w:szCs w:val="44"/>
          <w:lang w:eastAsia="zh-CN"/>
        </w:rPr>
        <w:t>济</w:t>
      </w:r>
    </w:p>
    <w:p w14:paraId="76B73377">
      <w:pPr>
        <w:widowControl w:val="0"/>
        <w:wordWrap/>
        <w:adjustRightInd/>
        <w:snapToGrid w:val="0"/>
        <w:spacing w:line="240" w:lineRule="auto"/>
        <w:ind w:firstLine="0" w:firstLineChars="0"/>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高质量发展十六条措施</w:t>
      </w:r>
      <w:bookmarkEnd w:id="14"/>
    </w:p>
    <w:p w14:paraId="17B1EAC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color w:val="000000"/>
          <w:sz w:val="32"/>
          <w:szCs w:val="32"/>
        </w:rPr>
      </w:pPr>
    </w:p>
    <w:p w14:paraId="67661A7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为深入贯彻党</w:t>
      </w:r>
      <w:r>
        <w:rPr>
          <w:rFonts w:hint="eastAsia" w:ascii="仿宋_GB2312" w:hAnsi="仿宋_GB2312" w:eastAsia="仿宋_GB2312" w:cs="仿宋_GB2312"/>
          <w:color w:val="000000"/>
          <w:sz w:val="32"/>
          <w:szCs w:val="32"/>
          <w:lang w:eastAsia="zh-CN"/>
        </w:rPr>
        <w:t>中央、国务院</w:t>
      </w:r>
      <w:r>
        <w:rPr>
          <w:rFonts w:hint="eastAsia" w:ascii="仿宋_GB2312" w:hAnsi="仿宋_GB2312" w:eastAsia="仿宋_GB2312" w:cs="仿宋_GB2312"/>
          <w:color w:val="000000"/>
          <w:sz w:val="32"/>
          <w:szCs w:val="32"/>
        </w:rPr>
        <w:t>关于促进民营经济发展壮大的决策部署</w:t>
      </w:r>
      <w:r>
        <w:rPr>
          <w:rFonts w:hint="eastAsia" w:ascii="仿宋_GB2312" w:hAnsi="仿宋_GB2312" w:eastAsia="仿宋_GB2312" w:cs="仿宋_GB2312"/>
          <w:color w:val="000000"/>
          <w:sz w:val="32"/>
          <w:szCs w:val="32"/>
          <w:lang w:eastAsia="zh-CN"/>
        </w:rPr>
        <w:t>，有效落实金融监管总局和江苏省委省政府相关要求，进一步推动</w:t>
      </w:r>
      <w:r>
        <w:rPr>
          <w:rFonts w:hint="eastAsia" w:ascii="仿宋_GB2312" w:hAnsi="仿宋_GB2312" w:eastAsia="仿宋_GB2312" w:cs="仿宋_GB2312"/>
          <w:i w:val="0"/>
          <w:iCs w:val="0"/>
          <w:caps w:val="0"/>
          <w:color w:val="000000"/>
          <w:spacing w:val="0"/>
          <w:kern w:val="2"/>
          <w:sz w:val="32"/>
          <w:szCs w:val="32"/>
          <w:highlight w:val="none"/>
          <w:lang w:val="en-US" w:eastAsia="zh-CN" w:bidi="ar-SA"/>
        </w:rPr>
        <w:t>金融资源、惠企政策精准高效直达民营经济主体，引导金融机构</w:t>
      </w:r>
      <w:r>
        <w:rPr>
          <w:rFonts w:hint="eastAsia" w:ascii="仿宋_GB2312" w:hAnsi="仿宋_GB2312" w:eastAsia="仿宋_GB2312" w:cs="仿宋_GB2312"/>
          <w:b w:val="0"/>
          <w:bCs w:val="0"/>
          <w:color w:val="000000"/>
          <w:sz w:val="32"/>
          <w:szCs w:val="32"/>
          <w:highlight w:val="none"/>
          <w:lang w:val="en-US" w:eastAsia="zh-CN"/>
        </w:rPr>
        <w:t>以高质量金融服务赋能民营经济高质量发展</w:t>
      </w:r>
      <w:r>
        <w:rPr>
          <w:rFonts w:hint="eastAsia"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color w:val="000000"/>
          <w:sz w:val="32"/>
          <w:szCs w:val="32"/>
        </w:rPr>
        <w:t>现</w:t>
      </w:r>
      <w:r>
        <w:rPr>
          <w:rFonts w:hint="eastAsia" w:ascii="仿宋_GB2312" w:hAnsi="仿宋_GB2312" w:eastAsia="仿宋_GB2312" w:cs="仿宋_GB2312"/>
          <w:color w:val="000000"/>
          <w:sz w:val="32"/>
          <w:szCs w:val="32"/>
          <w:lang w:eastAsia="zh-CN"/>
        </w:rPr>
        <w:t>制定以下措施。</w:t>
      </w:r>
    </w:p>
    <w:p w14:paraId="23041DE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000000"/>
          <w:sz w:val="32"/>
          <w:szCs w:val="32"/>
          <w:lang w:val="en-US" w:eastAsia="zh-CN"/>
        </w:rPr>
        <w:t>一、严禁对民营经济融资设置隐性壁垒和歧视性条款。</w:t>
      </w:r>
      <w:r>
        <w:rPr>
          <w:rFonts w:hint="eastAsia" w:ascii="仿宋_GB2312" w:hAnsi="仿宋_GB2312" w:eastAsia="仿宋_GB2312" w:cs="仿宋_GB2312"/>
          <w:color w:val="auto"/>
          <w:sz w:val="32"/>
          <w:szCs w:val="32"/>
          <w:highlight w:val="none"/>
          <w:lang w:val="en-US" w:eastAsia="zh-CN"/>
        </w:rPr>
        <w:t>各金融机构要深入贯彻《中华人民共和国民营经济促进法》，全面梳理</w:t>
      </w:r>
      <w:r>
        <w:rPr>
          <w:rFonts w:hint="eastAsia" w:ascii="仿宋_GB2312" w:hAnsi="仿宋_GB2312" w:eastAsia="仿宋_GB2312" w:cs="仿宋_GB2312"/>
          <w:color w:val="auto"/>
          <w:sz w:val="32"/>
          <w:szCs w:val="32"/>
          <w:lang w:eastAsia="zh-CN"/>
        </w:rPr>
        <w:t>检视授信、信贷管理、风控管理、服务收费、贷款定价等制度流程，对</w:t>
      </w:r>
      <w:r>
        <w:rPr>
          <w:rFonts w:hint="eastAsia" w:ascii="仿宋_GB2312" w:hAnsi="仿宋_GB2312" w:eastAsia="仿宋_GB2312" w:cs="仿宋_GB2312"/>
          <w:color w:val="auto"/>
          <w:sz w:val="32"/>
          <w:szCs w:val="32"/>
          <w:lang w:val="zh-CN" w:eastAsia="zh-CN"/>
        </w:rPr>
        <w:t>不同所有制企业实行统一标准，</w:t>
      </w:r>
      <w:r>
        <w:rPr>
          <w:rFonts w:hint="eastAsia" w:ascii="仿宋_GB2312" w:hAnsi="仿宋_GB2312" w:eastAsia="仿宋_GB2312" w:cs="仿宋_GB2312"/>
          <w:color w:val="auto"/>
          <w:sz w:val="32"/>
          <w:szCs w:val="32"/>
          <w:highlight w:val="none"/>
          <w:lang w:val="en-US" w:eastAsia="zh-CN"/>
        </w:rPr>
        <w:t>提供公平公正金融服务。</w:t>
      </w:r>
      <w:r>
        <w:rPr>
          <w:rFonts w:hint="eastAsia" w:ascii="仿宋_GB2312" w:hAnsi="仿宋_GB2312" w:eastAsia="仿宋_GB2312" w:cs="仿宋_GB2312"/>
          <w:color w:val="auto"/>
          <w:sz w:val="32"/>
          <w:szCs w:val="32"/>
          <w:lang w:val="zh-CN" w:eastAsia="zh-CN"/>
        </w:rPr>
        <w:t>要强化逐级传导，确保相关要求传达到各部门、各业务人员。</w:t>
      </w:r>
    </w:p>
    <w:p w14:paraId="75A99B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lang w:val="en-US" w:eastAsia="zh-CN"/>
        </w:rPr>
        <w:t>明确民营经济融资增长目标。</w:t>
      </w:r>
      <w:r>
        <w:rPr>
          <w:rFonts w:hint="eastAsia" w:ascii="仿宋_GB2312" w:hAnsi="仿宋_GB2312" w:eastAsia="仿宋_GB2312" w:cs="仿宋_GB2312"/>
          <w:color w:val="auto"/>
          <w:sz w:val="32"/>
          <w:szCs w:val="32"/>
          <w:highlight w:val="none"/>
          <w:lang w:val="en-US" w:eastAsia="zh-CN"/>
        </w:rPr>
        <w:t>各银行机构要在年度经营计划中单列民营经济信贷计划。</w:t>
      </w:r>
      <w:r>
        <w:rPr>
          <w:rFonts w:hint="eastAsia" w:ascii="仿宋_GB2312" w:hAnsi="仿宋_GB2312" w:eastAsia="仿宋_GB2312" w:cs="仿宋_GB2312"/>
          <w:color w:val="000000"/>
          <w:sz w:val="32"/>
          <w:szCs w:val="32"/>
          <w:lang w:eastAsia="zh-CN"/>
        </w:rPr>
        <w:t>民营企业贷款余额占比低于全省平均水平的机构要力争</w:t>
      </w:r>
      <w:r>
        <w:rPr>
          <w:rFonts w:hint="eastAsia" w:ascii="仿宋_GB2312" w:hAnsi="仿宋_GB2312" w:eastAsia="仿宋_GB2312" w:cs="仿宋_GB2312"/>
          <w:color w:val="auto"/>
          <w:sz w:val="32"/>
          <w:szCs w:val="32"/>
          <w:highlight w:val="none"/>
          <w:lang w:val="en-US" w:eastAsia="zh-CN"/>
        </w:rPr>
        <w:t>实现民营企业贷款增速不低于各项贷款增速，占比高于全省平均水平的机构要力争实现民营企业贷款增量不低于上年。</w:t>
      </w:r>
    </w:p>
    <w:p w14:paraId="067253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000000"/>
          <w:sz w:val="32"/>
          <w:szCs w:val="32"/>
          <w:lang w:val="en-US" w:eastAsia="zh-CN"/>
        </w:rPr>
        <w:t>三、建立健全民营经济金融服务专班和机制。</w:t>
      </w:r>
      <w:r>
        <w:rPr>
          <w:rFonts w:hint="eastAsia" w:ascii="仿宋_GB2312" w:hAnsi="仿宋_GB2312" w:eastAsia="仿宋_GB2312" w:cs="仿宋_GB2312"/>
          <w:color w:val="000000"/>
          <w:sz w:val="32"/>
          <w:szCs w:val="32"/>
          <w:lang w:val="en-US" w:eastAsia="zh-CN"/>
        </w:rPr>
        <w:t>各金融机构要明确民营经济金融服务牵头部门，鼓励设立民营经济金融服务工作专班，</w:t>
      </w:r>
      <w:r>
        <w:rPr>
          <w:rFonts w:hint="eastAsia" w:ascii="仿宋_GB2312" w:hAnsi="仿宋_GB2312" w:eastAsia="仿宋_GB2312" w:cs="仿宋_GB2312"/>
          <w:b w:val="0"/>
          <w:bCs w:val="0"/>
          <w:color w:val="auto"/>
          <w:sz w:val="32"/>
          <w:szCs w:val="32"/>
          <w:highlight w:val="none"/>
          <w:lang w:val="en-US" w:eastAsia="zh-CN"/>
        </w:rPr>
        <w:t>加强统筹调度，做好要素保障。</w:t>
      </w:r>
      <w:r>
        <w:rPr>
          <w:rFonts w:hint="eastAsia" w:ascii="仿宋_GB2312" w:hAnsi="仿宋_GB2312" w:eastAsia="仿宋_GB2312" w:cs="仿宋_GB2312"/>
          <w:color w:val="000000"/>
          <w:sz w:val="32"/>
          <w:szCs w:val="32"/>
          <w:lang w:val="en-US" w:eastAsia="zh-CN"/>
        </w:rPr>
        <w:t>各银行机构在内部绩效考核方案</w:t>
      </w:r>
      <w:r>
        <w:rPr>
          <w:rFonts w:hint="eastAsia" w:ascii="仿宋_GB2312" w:hAnsi="仿宋_GB2312" w:eastAsia="仿宋_GB2312" w:cs="仿宋_GB2312"/>
          <w:color w:val="auto"/>
          <w:sz w:val="32"/>
          <w:szCs w:val="32"/>
          <w:highlight w:val="none"/>
          <w:lang w:val="en-US" w:eastAsia="zh-CN"/>
        </w:rPr>
        <w:t>中要单列民营企业信贷业务权重，明确内部资金转移定价优惠幅度，加大拓展民营客户的正向激励。</w:t>
      </w:r>
    </w:p>
    <w:p w14:paraId="09E30E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000000"/>
          <w:sz w:val="32"/>
          <w:szCs w:val="32"/>
          <w:lang w:val="en-US" w:eastAsia="zh-CN"/>
        </w:rPr>
        <w:t>四、提升民营经济金融服务专业能力。</w:t>
      </w:r>
      <w:r>
        <w:rPr>
          <w:rFonts w:hint="eastAsia" w:ascii="仿宋_GB2312" w:hAnsi="仿宋_GB2312" w:eastAsia="仿宋_GB2312" w:cs="仿宋_GB2312"/>
          <w:color w:val="auto"/>
          <w:sz w:val="32"/>
          <w:szCs w:val="32"/>
          <w:lang w:val="en-US" w:eastAsia="zh-CN"/>
        </w:rPr>
        <w:t>各机构要加强专业团队建设，开展行业研究，针对不同规模、不同行业、不同发展阶段的民营企业，分层分类设立专业化、差异化评审体系，对新兴产业领域民营主体，突出创新能力、核心竞争力等要素评价，从“看报表、看抵押”静态评估转向“看产业、看未来”动态研判，做到能贷、会</w:t>
      </w:r>
      <w:r>
        <w:rPr>
          <w:rFonts w:hint="eastAsia" w:ascii="仿宋_GB2312" w:hAnsi="仿宋_GB2312" w:eastAsia="仿宋_GB2312" w:cs="仿宋_GB2312"/>
          <w:color w:val="auto"/>
          <w:sz w:val="32"/>
          <w:szCs w:val="32"/>
          <w:shd w:val="clear" w:color="auto" w:fill="FFFFFF"/>
          <w:lang w:val="en-US" w:eastAsia="zh-CN"/>
        </w:rPr>
        <w:t>贷</w:t>
      </w:r>
      <w:r>
        <w:rPr>
          <w:rFonts w:hint="eastAsia" w:ascii="仿宋_GB2312" w:hAnsi="仿宋_GB2312" w:eastAsia="仿宋_GB2312" w:cs="仿宋_GB2312"/>
          <w:color w:val="auto"/>
          <w:sz w:val="32"/>
          <w:szCs w:val="32"/>
          <w:lang w:val="en-US" w:eastAsia="zh-CN"/>
        </w:rPr>
        <w:t>。</w:t>
      </w:r>
    </w:p>
    <w:p w14:paraId="589694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五、落实民营小微企业融资尽职免责要求。</w:t>
      </w:r>
      <w:r>
        <w:rPr>
          <w:rFonts w:hint="eastAsia" w:ascii="仿宋_GB2312" w:hAnsi="仿宋_GB2312" w:eastAsia="仿宋_GB2312" w:cs="仿宋_GB2312"/>
          <w:color w:val="auto"/>
          <w:sz w:val="32"/>
          <w:szCs w:val="32"/>
          <w:lang w:val="en-US" w:eastAsia="zh-CN"/>
        </w:rPr>
        <w:t>各银行机构要细化民营小微企业融资</w:t>
      </w:r>
      <w:r>
        <w:rPr>
          <w:rFonts w:hint="eastAsia" w:ascii="仿宋_GB2312" w:hAnsi="仿宋_GB2312" w:eastAsia="仿宋_GB2312" w:cs="仿宋_GB2312"/>
          <w:color w:val="000000"/>
          <w:sz w:val="32"/>
          <w:szCs w:val="32"/>
          <w:lang w:val="en-US" w:eastAsia="zh-CN"/>
        </w:rPr>
        <w:t>尽职免责情形和认定标准，将经济周期导致的</w:t>
      </w:r>
      <w:r>
        <w:rPr>
          <w:rFonts w:hint="eastAsia" w:ascii="仿宋_GB2312" w:hAnsi="仿宋_GB2312" w:eastAsia="仿宋_GB2312" w:cs="仿宋_GB2312"/>
          <w:color w:val="000000"/>
          <w:sz w:val="32"/>
          <w:szCs w:val="32"/>
          <w:shd w:val="clear" w:color="auto" w:fill="FFFFFF"/>
          <w:lang w:val="en-US" w:eastAsia="zh-CN"/>
        </w:rPr>
        <w:t>销贷</w:t>
      </w:r>
      <w:r>
        <w:rPr>
          <w:rFonts w:hint="eastAsia" w:ascii="仿宋_GB2312" w:hAnsi="仿宋_GB2312" w:eastAsia="仿宋_GB2312" w:cs="仿宋_GB2312"/>
          <w:color w:val="000000"/>
          <w:sz w:val="32"/>
          <w:szCs w:val="32"/>
          <w:lang w:val="en-US" w:eastAsia="zh-CN"/>
        </w:rPr>
        <w:t>比、资产负债率等指标正常波动纳入尽职免责考量范围，注重履职实质认定，对依法合规操作、已履行岗位职责、不存在道德风险的信贷人员，依</w:t>
      </w:r>
      <w:r>
        <w:rPr>
          <w:rFonts w:hint="eastAsia" w:ascii="仿宋_GB2312" w:hAnsi="仿宋_GB2312" w:eastAsia="仿宋_GB2312" w:cs="仿宋_GB2312"/>
          <w:color w:val="000000"/>
          <w:sz w:val="32"/>
          <w:szCs w:val="32"/>
          <w:shd w:val="clear" w:color="auto" w:fill="FFFFFF"/>
          <w:lang w:val="en-US" w:eastAsia="zh-CN"/>
        </w:rPr>
        <w:t>规</w:t>
      </w:r>
      <w:r>
        <w:rPr>
          <w:rFonts w:hint="eastAsia" w:ascii="仿宋_GB2312" w:hAnsi="仿宋_GB2312" w:eastAsia="仿宋_GB2312" w:cs="仿宋_GB2312"/>
          <w:color w:val="000000"/>
          <w:sz w:val="32"/>
          <w:szCs w:val="32"/>
          <w:lang w:val="en-US" w:eastAsia="zh-CN"/>
        </w:rPr>
        <w:t>尽职免责，切实增强基层机构和信贷人员</w:t>
      </w:r>
      <w:r>
        <w:rPr>
          <w:rFonts w:hint="eastAsia" w:ascii="仿宋_GB2312" w:hAnsi="仿宋_GB2312" w:eastAsia="仿宋_GB2312" w:cs="仿宋_GB2312"/>
          <w:color w:val="000000"/>
          <w:sz w:val="32"/>
          <w:szCs w:val="32"/>
          <w:shd w:val="clear" w:color="auto" w:fill="FFFFFF"/>
          <w:lang w:val="en-US" w:eastAsia="zh-CN"/>
        </w:rPr>
        <w:t>敢</w:t>
      </w:r>
      <w:r>
        <w:rPr>
          <w:rFonts w:hint="eastAsia" w:ascii="仿宋_GB2312" w:hAnsi="仿宋_GB2312" w:eastAsia="仿宋_GB2312" w:cs="仿宋_GB2312"/>
          <w:color w:val="000000"/>
          <w:sz w:val="32"/>
          <w:szCs w:val="32"/>
          <w:lang w:val="en-US" w:eastAsia="zh-CN"/>
        </w:rPr>
        <w:t>贷、</w:t>
      </w:r>
      <w:r>
        <w:rPr>
          <w:rFonts w:hint="eastAsia" w:ascii="仿宋_GB2312" w:hAnsi="仿宋_GB2312" w:eastAsia="仿宋_GB2312" w:cs="仿宋_GB2312"/>
          <w:color w:val="000000"/>
          <w:sz w:val="32"/>
          <w:szCs w:val="32"/>
          <w:shd w:val="clear" w:color="auto" w:fill="FFFFFF"/>
          <w:lang w:val="en-US" w:eastAsia="zh-CN"/>
        </w:rPr>
        <w:t>愿贷</w:t>
      </w:r>
      <w:r>
        <w:rPr>
          <w:rFonts w:hint="eastAsia" w:ascii="仿宋_GB2312" w:hAnsi="仿宋_GB2312" w:eastAsia="仿宋_GB2312" w:cs="仿宋_GB2312"/>
          <w:color w:val="000000"/>
          <w:sz w:val="32"/>
          <w:szCs w:val="32"/>
          <w:lang w:val="en-US" w:eastAsia="zh-CN"/>
        </w:rPr>
        <w:t>动能。</w:t>
      </w:r>
    </w:p>
    <w:p w14:paraId="2501A2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六、合理放宽民营小微企业不良容忍度。</w:t>
      </w:r>
      <w:r>
        <w:rPr>
          <w:rFonts w:hint="eastAsia" w:ascii="仿宋_GB2312" w:hAnsi="仿宋_GB2312" w:eastAsia="仿宋_GB2312" w:cs="仿宋_GB2312"/>
          <w:color w:val="000000"/>
          <w:sz w:val="32"/>
          <w:szCs w:val="32"/>
          <w:lang w:val="en-US" w:eastAsia="zh-CN"/>
        </w:rPr>
        <w:t>将民营小微企业贷款不良容忍度放宽至不高于自身各项贷款不良率3个百分点，对容忍度范围内的机构，可不作为监管部门监管评级的扣分因素。各银行机构对业务条线、分支机构考核中，据此合理设置民营小微企业贷款不良容忍度。支持银行机构向民营小微领域倾斜核销资源。</w:t>
      </w:r>
    </w:p>
    <w:p w14:paraId="0FF3B4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七、</w:t>
      </w:r>
      <w:r>
        <w:rPr>
          <w:rFonts w:hint="eastAsia" w:ascii="黑体" w:hAnsi="黑体" w:eastAsia="黑体" w:cs="黑体"/>
          <w:color w:val="000000"/>
          <w:sz w:val="32"/>
          <w:szCs w:val="32"/>
          <w:highlight w:val="none"/>
          <w:lang w:val="en-US" w:eastAsia="zh-CN"/>
        </w:rPr>
        <w:t>做深做实小微企业融资协调机制。</w:t>
      </w:r>
      <w:r>
        <w:rPr>
          <w:rFonts w:hint="eastAsia" w:ascii="仿宋_GB2312" w:hAnsi="仿宋_GB2312" w:eastAsia="仿宋_GB2312" w:cs="仿宋_GB2312"/>
          <w:b w:val="0"/>
          <w:bCs w:val="0"/>
          <w:color w:val="auto"/>
          <w:sz w:val="32"/>
          <w:szCs w:val="32"/>
          <w:highlight w:val="none"/>
          <w:lang w:eastAsia="zh-CN"/>
        </w:rPr>
        <w:t>聚焦有经营实绩的小微主体，持续做好摸排走访和融资对接</w:t>
      </w:r>
      <w:r>
        <w:rPr>
          <w:rFonts w:hint="eastAsia" w:ascii="仿宋_GB2312" w:hAnsi="仿宋_GB2312" w:eastAsia="仿宋_GB2312" w:cs="仿宋_GB2312"/>
          <w:color w:val="000000"/>
          <w:sz w:val="32"/>
          <w:szCs w:val="32"/>
          <w:lang w:val="en-US" w:eastAsia="zh-CN"/>
        </w:rPr>
        <w:t>，对符合条件的小微主体做到应贷尽贷、能贷快贷。持续推进民营小微主体首贷扩面，稳步提高小微企业续贷、信用贷占比。强化数据赋能，实现精准触达、精准画像，满足合理融资需求。</w:t>
      </w:r>
    </w:p>
    <w:p w14:paraId="56F7C0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八、加大重点民营企业金融支持。</w:t>
      </w:r>
      <w:r>
        <w:rPr>
          <w:rFonts w:hint="eastAsia" w:ascii="仿宋_GB2312" w:hAnsi="仿宋_GB2312" w:eastAsia="仿宋_GB2312" w:cs="仿宋_GB2312"/>
          <w:color w:val="000000"/>
          <w:sz w:val="32"/>
          <w:szCs w:val="32"/>
          <w:lang w:val="en-US" w:eastAsia="zh-CN"/>
        </w:rPr>
        <w:t>主动对接发改、科技、工信等行业主管部门，用好</w:t>
      </w:r>
      <w:r>
        <w:rPr>
          <w:rFonts w:hint="eastAsia" w:ascii="仿宋_GB2312" w:hAnsi="仿宋_GB2312" w:eastAsia="仿宋_GB2312" w:cs="仿宋_GB2312"/>
          <w:color w:val="auto"/>
          <w:sz w:val="32"/>
          <w:szCs w:val="32"/>
          <w:lang w:val="en-US" w:eastAsia="zh-CN"/>
        </w:rPr>
        <w:t>高新技术企业、专精特新企业等重点企业名单，将符合条件的民营企业、项目纳入重点服务范围，</w:t>
      </w:r>
      <w:r>
        <w:rPr>
          <w:rFonts w:hint="eastAsia" w:ascii="仿宋_GB2312" w:hAnsi="仿宋_GB2312" w:eastAsia="仿宋_GB2312" w:cs="仿宋_GB2312"/>
          <w:sz w:val="32"/>
          <w:szCs w:val="32"/>
          <w:lang w:val="en-US" w:eastAsia="zh-CN"/>
        </w:rPr>
        <w:t>实现重点民营企业授信</w:t>
      </w:r>
      <w:r>
        <w:rPr>
          <w:rFonts w:hint="eastAsia" w:ascii="仿宋_GB2312" w:hAnsi="仿宋_GB2312" w:eastAsia="仿宋_GB2312" w:cs="仿宋_GB2312"/>
          <w:sz w:val="32"/>
          <w:szCs w:val="32"/>
          <w:shd w:val="clear" w:color="auto" w:fill="FFFFFF"/>
          <w:lang w:val="en-US" w:eastAsia="zh-CN"/>
        </w:rPr>
        <w:t>尽调</w:t>
      </w:r>
      <w:r>
        <w:rPr>
          <w:rFonts w:hint="eastAsia" w:ascii="仿宋_GB2312" w:hAnsi="仿宋_GB2312" w:eastAsia="仿宋_GB2312" w:cs="仿宋_GB2312"/>
          <w:sz w:val="32"/>
          <w:szCs w:val="32"/>
          <w:lang w:val="en-US" w:eastAsia="zh-CN"/>
        </w:rPr>
        <w:t>对接率100%，有效融资需求满足率100%。</w:t>
      </w:r>
      <w:r>
        <w:rPr>
          <w:rFonts w:hint="eastAsia" w:ascii="仿宋_GB2312" w:hAnsi="仿宋_GB2312" w:eastAsia="仿宋_GB2312" w:cs="仿宋_GB2312"/>
          <w:color w:val="auto"/>
          <w:sz w:val="32"/>
          <w:szCs w:val="32"/>
          <w:lang w:val="en-US" w:eastAsia="zh-CN"/>
        </w:rPr>
        <w:t>加大民间投资专项担保计划推进力度，主动</w:t>
      </w:r>
      <w:r>
        <w:rPr>
          <w:rFonts w:hint="eastAsia" w:ascii="仿宋_GB2312" w:hAnsi="仿宋_GB2312" w:eastAsia="仿宋_GB2312" w:cs="仿宋_GB2312"/>
          <w:color w:val="000000"/>
          <w:sz w:val="32"/>
          <w:szCs w:val="32"/>
          <w:lang w:val="en-US" w:eastAsia="zh-CN"/>
        </w:rPr>
        <w:t>调整优化</w:t>
      </w:r>
      <w:r>
        <w:rPr>
          <w:rFonts w:hint="eastAsia" w:ascii="仿宋_GB2312" w:hAnsi="仿宋_GB2312" w:eastAsia="仿宋_GB2312" w:cs="仿宋_GB2312"/>
          <w:color w:val="auto"/>
          <w:sz w:val="32"/>
          <w:szCs w:val="32"/>
          <w:lang w:val="en-US" w:eastAsia="zh-CN"/>
        </w:rPr>
        <w:t>本行授信标准、业务流程，加快计划落地见效</w:t>
      </w:r>
      <w:r>
        <w:rPr>
          <w:rFonts w:hint="eastAsia" w:ascii="仿宋_GB2312" w:hAnsi="仿宋_GB2312" w:eastAsia="仿宋_GB2312" w:cs="仿宋_GB2312"/>
          <w:color w:val="000000"/>
          <w:sz w:val="32"/>
          <w:szCs w:val="32"/>
          <w:lang w:val="en-US" w:eastAsia="zh-CN"/>
        </w:rPr>
        <w:t>。</w:t>
      </w:r>
    </w:p>
    <w:p w14:paraId="0A0E4D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九、创新科技型民营企业金融服务。</w:t>
      </w:r>
      <w:r>
        <w:rPr>
          <w:rFonts w:hint="eastAsia" w:ascii="仿宋_GB2312" w:hAnsi="仿宋_GB2312" w:eastAsia="仿宋_GB2312" w:cs="仿宋_GB2312"/>
          <w:color w:val="000000"/>
          <w:sz w:val="32"/>
          <w:szCs w:val="32"/>
          <w:lang w:val="en-US" w:eastAsia="zh-CN"/>
        </w:rPr>
        <w:t>持续</w:t>
      </w:r>
      <w:r>
        <w:rPr>
          <w:rFonts w:hint="eastAsia" w:ascii="仿宋_GB2312" w:hAnsi="仿宋_GB2312" w:eastAsia="仿宋_GB2312" w:cs="仿宋_GB2312"/>
          <w:color w:val="000000"/>
          <w:sz w:val="32"/>
          <w:szCs w:val="32"/>
          <w:lang w:eastAsia="zh-CN"/>
        </w:rPr>
        <w:t>推进金融资产投资公司股权投资试点、科技企业并购贷款试点、知识产权金融生态综合试点等政策落地落实。</w:t>
      </w:r>
      <w:r>
        <w:rPr>
          <w:rFonts w:hint="eastAsia" w:ascii="仿宋_GB2312" w:hAnsi="仿宋_GB2312" w:eastAsia="仿宋_GB2312" w:cs="仿宋_GB2312"/>
          <w:color w:val="000000"/>
          <w:sz w:val="32"/>
          <w:szCs w:val="32"/>
          <w:lang w:val="en-US" w:eastAsia="zh-CN"/>
        </w:rPr>
        <w:t>支持有条件的银行保险机构设立科技金融特色机构、OPC专业服务机构（团队），</w:t>
      </w:r>
      <w:r>
        <w:rPr>
          <w:rFonts w:hint="eastAsia" w:ascii="仿宋_GB2312" w:hAnsi="仿宋_GB2312" w:eastAsia="仿宋_GB2312" w:cs="仿宋_GB2312"/>
          <w:color w:val="000000"/>
          <w:sz w:val="32"/>
          <w:szCs w:val="32"/>
          <w:lang w:eastAsia="zh-CN"/>
        </w:rPr>
        <w:t>为种子期、初创期、</w:t>
      </w:r>
      <w:r>
        <w:rPr>
          <w:rFonts w:hint="eastAsia" w:ascii="仿宋_GB2312" w:hAnsi="仿宋_GB2312" w:eastAsia="仿宋_GB2312" w:cs="仿宋_GB2312"/>
          <w:color w:val="000000"/>
          <w:sz w:val="32"/>
          <w:szCs w:val="32"/>
          <w:lang w:val="en-US" w:eastAsia="zh-CN"/>
        </w:rPr>
        <w:t>OPC企业等提供针对性、特色化、全生命周期金融服务。推广积分贷、研发转化贷、科技成果转化费用损失保险等特色产品。</w:t>
      </w:r>
    </w:p>
    <w:p w14:paraId="119FDC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val="en-US" w:eastAsia="zh-CN"/>
        </w:rPr>
        <w:t>十、强化民营制造业企业金融支持。</w:t>
      </w:r>
      <w:r>
        <w:rPr>
          <w:rFonts w:hint="eastAsia" w:ascii="仿宋_GB2312" w:hAnsi="仿宋_GB2312" w:eastAsia="仿宋_GB2312" w:cs="仿宋_GB2312"/>
          <w:color w:val="auto"/>
          <w:sz w:val="32"/>
          <w:szCs w:val="32"/>
          <w:lang w:val="en-US" w:eastAsia="zh-CN"/>
        </w:rPr>
        <w:t>鼓励银行机构立足自身优势，建立行领导挂钩重点产业链、重点产业集群机制，“一</w:t>
      </w:r>
      <w:r>
        <w:rPr>
          <w:rFonts w:hint="eastAsia" w:ascii="仿宋_GB2312" w:hAnsi="仿宋_GB2312" w:eastAsia="仿宋_GB2312" w:cs="仿宋_GB2312"/>
          <w:color w:val="auto"/>
          <w:sz w:val="32"/>
          <w:szCs w:val="32"/>
          <w:shd w:val="clear" w:color="auto" w:fill="FFFFFF"/>
          <w:lang w:val="en-US" w:eastAsia="zh-CN"/>
        </w:rPr>
        <w:t>链</w:t>
      </w:r>
      <w:r>
        <w:rPr>
          <w:rFonts w:hint="eastAsia" w:ascii="仿宋_GB2312" w:hAnsi="仿宋_GB2312" w:eastAsia="仿宋_GB2312" w:cs="仿宋_GB2312"/>
          <w:color w:val="auto"/>
          <w:sz w:val="32"/>
          <w:szCs w:val="32"/>
          <w:lang w:val="en-US" w:eastAsia="zh-CN"/>
        </w:rPr>
        <w:t>一群一策”提供多元化金融支持。用好用足设备更新贷款、中小微民营企业固定资产贷款、省制造业融资租赁等财政贴息政策，加大制造业中长期贷款投放，努力提升制造业贷款特别是中长期贷款占比。</w:t>
      </w:r>
    </w:p>
    <w:p w14:paraId="191A26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十一、优化民营外贸企业金融服务。</w:t>
      </w:r>
      <w:r>
        <w:rPr>
          <w:rFonts w:hint="eastAsia" w:ascii="仿宋_GB2312" w:hAnsi="仿宋_GB2312" w:eastAsia="仿宋_GB2312" w:cs="仿宋_GB2312"/>
          <w:color w:val="auto"/>
          <w:sz w:val="32"/>
          <w:szCs w:val="32"/>
          <w:highlight w:val="none"/>
          <w:lang w:val="en-US" w:eastAsia="zh-CN"/>
        </w:rPr>
        <w:t>对重点民营外贸企业实行名单制管理，</w:t>
      </w:r>
      <w:r>
        <w:rPr>
          <w:rFonts w:hint="eastAsia" w:ascii="仿宋_GB2312" w:hAnsi="仿宋_GB2312" w:eastAsia="仿宋_GB2312" w:cs="仿宋_GB2312"/>
          <w:sz w:val="32"/>
          <w:szCs w:val="32"/>
          <w:highlight w:val="none"/>
        </w:rPr>
        <w:t>建立“一对一”金融服务专员跟踪机制，</w:t>
      </w:r>
      <w:r>
        <w:rPr>
          <w:rFonts w:hint="eastAsia" w:ascii="仿宋_GB2312" w:hAnsi="仿宋_GB2312" w:eastAsia="仿宋_GB2312" w:cs="仿宋_GB2312"/>
          <w:color w:val="auto"/>
          <w:sz w:val="32"/>
          <w:szCs w:val="32"/>
          <w:highlight w:val="none"/>
          <w:lang w:val="en-US" w:eastAsia="zh-CN"/>
        </w:rPr>
        <w:t>逐户了解企业具体诉求，“一户一策”提供精准支持。积极争取外贸专项信贷额度、专项转贷款额度等，确保符合条件的外贸企业应享尽享。鼓励为外贸企业及其上下游提供“境内+境外”“融资+结算”“交易+担保”综合金融解决方案。</w:t>
      </w:r>
    </w:p>
    <w:p w14:paraId="76D06D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十二、改进个私经济主体金融服务。</w:t>
      </w:r>
      <w:r>
        <w:rPr>
          <w:rFonts w:hint="eastAsia" w:ascii="仿宋_GB2312" w:hAnsi="仿宋_GB2312" w:eastAsia="仿宋_GB2312" w:cs="仿宋_GB2312"/>
          <w:color w:val="000000"/>
          <w:sz w:val="32"/>
          <w:szCs w:val="32"/>
          <w:lang w:val="en-US" w:eastAsia="zh-CN"/>
        </w:rPr>
        <w:t>持续开展个体工商户“分型分类”融资对接专项行动，采取场景化</w:t>
      </w:r>
      <w:r>
        <w:rPr>
          <w:rFonts w:hint="eastAsia" w:ascii="仿宋_GB2312" w:hAnsi="仿宋_GB2312" w:eastAsia="仿宋_GB2312" w:cs="仿宋_GB2312"/>
          <w:color w:val="000000"/>
          <w:sz w:val="32"/>
          <w:szCs w:val="32"/>
          <w:shd w:val="clear" w:color="auto" w:fill="FFFFFF"/>
          <w:lang w:val="en-US" w:eastAsia="zh-CN"/>
        </w:rPr>
        <w:t>拓</w:t>
      </w:r>
      <w:r>
        <w:rPr>
          <w:rFonts w:hint="eastAsia" w:ascii="仿宋_GB2312" w:hAnsi="仿宋_GB2312" w:eastAsia="仿宋_GB2312" w:cs="仿宋_GB2312"/>
          <w:color w:val="000000"/>
          <w:sz w:val="32"/>
          <w:szCs w:val="32"/>
          <w:lang w:val="en-US" w:eastAsia="zh-CN"/>
        </w:rPr>
        <w:t>客、白名单</w:t>
      </w:r>
      <w:r>
        <w:rPr>
          <w:rFonts w:hint="eastAsia" w:ascii="仿宋_GB2312" w:hAnsi="仿宋_GB2312" w:eastAsia="仿宋_GB2312" w:cs="仿宋_GB2312"/>
          <w:color w:val="000000"/>
          <w:sz w:val="32"/>
          <w:szCs w:val="32"/>
          <w:shd w:val="clear" w:color="auto" w:fill="FFFFFF"/>
          <w:lang w:val="en-US" w:eastAsia="zh-CN"/>
        </w:rPr>
        <w:t>触</w:t>
      </w:r>
      <w:r>
        <w:rPr>
          <w:rFonts w:hint="eastAsia" w:ascii="仿宋_GB2312" w:hAnsi="仿宋_GB2312" w:eastAsia="仿宋_GB2312" w:cs="仿宋_GB2312"/>
          <w:color w:val="000000"/>
          <w:sz w:val="32"/>
          <w:szCs w:val="32"/>
          <w:lang w:val="en-US" w:eastAsia="zh-CN"/>
        </w:rPr>
        <w:t>达、网格化走访等手段，</w:t>
      </w:r>
      <w:r>
        <w:rPr>
          <w:rFonts w:hint="eastAsia" w:ascii="仿宋_GB2312" w:hAnsi="仿宋_GB2312" w:eastAsia="仿宋_GB2312" w:cs="仿宋_GB2312"/>
          <w:color w:val="auto"/>
          <w:sz w:val="32"/>
          <w:szCs w:val="32"/>
          <w:lang w:val="en-US" w:eastAsia="zh-CN"/>
        </w:rPr>
        <w:t>推进“发展型”个体工商户全面对接、“成长型”重点对接、“个转企”深度服务</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lang w:val="en-US" w:eastAsia="zh-CN"/>
        </w:rPr>
        <w:t>鼓励金融机构融入基层服务网格，探索配备“金融辅导员”等，普及金融知识，提供适配服务。</w:t>
      </w:r>
    </w:p>
    <w:p w14:paraId="20CF289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highlight w:val="none"/>
          <w:lang w:val="en-US" w:eastAsia="zh-CN"/>
        </w:rPr>
        <w:t>十三、做好困难民营企业纾困帮扶。</w:t>
      </w:r>
      <w:r>
        <w:rPr>
          <w:rFonts w:hint="eastAsia" w:ascii="仿宋_GB2312" w:hAnsi="仿宋_GB2312" w:eastAsia="仿宋_GB2312" w:cs="仿宋_GB2312"/>
          <w:color w:val="000000"/>
          <w:sz w:val="32"/>
          <w:szCs w:val="32"/>
          <w:lang w:val="en-US" w:eastAsia="zh-CN"/>
        </w:rPr>
        <w:t>对符合国家政策导向、主业突出、技术实力强、有发展前景但暂遇困难的民营企业，</w:t>
      </w:r>
      <w:r>
        <w:rPr>
          <w:rFonts w:hint="eastAsia" w:ascii="仿宋_GB2312" w:hAnsi="仿宋_GB2312" w:eastAsia="仿宋_GB2312" w:cs="仿宋_GB2312"/>
          <w:color w:val="auto"/>
          <w:sz w:val="32"/>
          <w:szCs w:val="32"/>
          <w:lang w:val="en-US" w:eastAsia="zh-CN"/>
        </w:rPr>
        <w:t>充分发挥金融债委会作用，</w:t>
      </w:r>
      <w:r>
        <w:rPr>
          <w:rFonts w:hint="eastAsia" w:ascii="仿宋_GB2312" w:hAnsi="仿宋_GB2312" w:eastAsia="仿宋_GB2312" w:cs="仿宋_GB2312"/>
          <w:color w:val="000000"/>
          <w:sz w:val="32"/>
          <w:szCs w:val="32"/>
          <w:lang w:val="en-US" w:eastAsia="zh-CN"/>
        </w:rPr>
        <w:t>不盲目抽贷、</w:t>
      </w:r>
      <w:r>
        <w:rPr>
          <w:rFonts w:hint="eastAsia" w:ascii="仿宋_GB2312" w:hAnsi="仿宋_GB2312" w:eastAsia="仿宋_GB2312" w:cs="仿宋_GB2312"/>
          <w:color w:val="000000"/>
          <w:sz w:val="32"/>
          <w:szCs w:val="32"/>
          <w:shd w:val="clear" w:color="auto" w:fill="FFFFFF"/>
          <w:lang w:val="en-US" w:eastAsia="zh-CN"/>
        </w:rPr>
        <w:t>断</w:t>
      </w:r>
      <w:r>
        <w:rPr>
          <w:rFonts w:hint="eastAsia" w:ascii="仿宋_GB2312" w:hAnsi="仿宋_GB2312" w:eastAsia="仿宋_GB2312" w:cs="仿宋_GB2312"/>
          <w:color w:val="000000"/>
          <w:sz w:val="32"/>
          <w:szCs w:val="32"/>
          <w:lang w:val="en-US" w:eastAsia="zh-CN"/>
        </w:rPr>
        <w:t>贷、压贷，按市场化、法治化原则，研究会商纾困化解方案。对贷款到期后临时存在资金困难的符合条件的中小微民营企业，经评审合格后给予无还本续贷支持。</w:t>
      </w:r>
    </w:p>
    <w:p w14:paraId="78E79B1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黑体" w:hAnsi="黑体" w:eastAsia="黑体" w:cs="黑体"/>
          <w:color w:val="000000"/>
          <w:sz w:val="32"/>
          <w:szCs w:val="32"/>
          <w:lang w:val="en-US" w:eastAsia="zh-CN"/>
        </w:rPr>
        <w:t>十四、</w:t>
      </w:r>
      <w:r>
        <w:rPr>
          <w:rFonts w:hint="eastAsia" w:ascii="黑体" w:hAnsi="黑体" w:eastAsia="黑体" w:cs="黑体"/>
          <w:color w:val="000000"/>
          <w:sz w:val="32"/>
          <w:szCs w:val="32"/>
          <w:highlight w:val="none"/>
          <w:lang w:val="en-US" w:eastAsia="zh-CN"/>
        </w:rPr>
        <w:t>大力创新民营经济保险服务。</w:t>
      </w:r>
      <w:r>
        <w:rPr>
          <w:rFonts w:hint="eastAsia" w:ascii="仿宋_GB2312" w:hAnsi="仿宋_GB2312" w:eastAsia="仿宋_GB2312" w:cs="仿宋_GB2312"/>
          <w:color w:val="000000"/>
          <w:sz w:val="32"/>
          <w:szCs w:val="32"/>
          <w:highlight w:val="none"/>
          <w:lang w:val="en-US" w:eastAsia="zh-CN"/>
        </w:rPr>
        <w:t>各保险机构要根据民营经济主体特点，积极创设适配保险产品，合理简化理赔手续，满足其风险保障需求。发挥政策性科技保险共保体作用，为民营企业科技研发活动提供保险保障。用好小微企业统保平台，推广跨境电商、海外仓等专属保险产品，拓展出口信用保险产业链承保。</w:t>
      </w:r>
    </w:p>
    <w:p w14:paraId="7F6841A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十五、建立民营经济金融服务自评估机制。</w:t>
      </w:r>
      <w:r>
        <w:rPr>
          <w:rFonts w:hint="eastAsia" w:ascii="仿宋_GB2312" w:hAnsi="仿宋_GB2312" w:eastAsia="仿宋_GB2312" w:cs="仿宋_GB2312"/>
          <w:color w:val="auto"/>
          <w:sz w:val="32"/>
          <w:szCs w:val="32"/>
          <w:lang w:eastAsia="zh-CN"/>
        </w:rPr>
        <w:t>各地方中小法人银行、各大中型银行一级分行要每半年对本行服务民营经济的机制优化和服务</w:t>
      </w:r>
      <w:r>
        <w:rPr>
          <w:rFonts w:hint="eastAsia" w:ascii="仿宋_GB2312" w:hAnsi="仿宋_GB2312" w:eastAsia="仿宋_GB2312" w:cs="仿宋_GB2312"/>
          <w:color w:val="auto"/>
          <w:sz w:val="32"/>
          <w:szCs w:val="32"/>
          <w:lang w:val="en-US" w:eastAsia="zh-CN"/>
        </w:rPr>
        <w:t>改进情况等</w:t>
      </w:r>
      <w:r>
        <w:rPr>
          <w:rFonts w:hint="eastAsia" w:ascii="仿宋_GB2312" w:hAnsi="仿宋_GB2312" w:eastAsia="仿宋_GB2312" w:cs="仿宋_GB2312"/>
          <w:color w:val="auto"/>
          <w:sz w:val="32"/>
          <w:szCs w:val="32"/>
          <w:lang w:eastAsia="zh-CN"/>
        </w:rPr>
        <w:t>开展自评估，梳理成效进展，剖析存在不足，明确提升举措。自评估情况于半年后次月底前</w:t>
      </w:r>
      <w:r>
        <w:rPr>
          <w:rFonts w:hint="eastAsia" w:ascii="仿宋_GB2312" w:hAnsi="仿宋_GB2312" w:eastAsia="仿宋_GB2312" w:cs="仿宋_GB2312"/>
          <w:color w:val="auto"/>
          <w:sz w:val="32"/>
          <w:szCs w:val="32"/>
          <w:lang w:val="en-US" w:eastAsia="zh-CN"/>
        </w:rPr>
        <w:t>报送</w:t>
      </w:r>
      <w:r>
        <w:rPr>
          <w:rFonts w:hint="eastAsia" w:ascii="仿宋_GB2312" w:hAnsi="仿宋_GB2312" w:eastAsia="仿宋_GB2312" w:cs="仿宋_GB2312"/>
          <w:color w:val="auto"/>
          <w:sz w:val="32"/>
          <w:szCs w:val="32"/>
          <w:shd w:val="clear" w:color="auto" w:fill="FFFFFF"/>
          <w:lang w:val="en-US" w:eastAsia="zh-CN"/>
        </w:rPr>
        <w:t>属地金融监管</w:t>
      </w:r>
      <w:r>
        <w:rPr>
          <w:rFonts w:hint="eastAsia" w:ascii="仿宋_GB2312" w:hAnsi="仿宋_GB2312" w:eastAsia="仿宋_GB2312" w:cs="仿宋_GB2312"/>
          <w:color w:val="auto"/>
          <w:sz w:val="32"/>
          <w:szCs w:val="32"/>
          <w:lang w:val="en-US" w:eastAsia="zh-CN"/>
        </w:rPr>
        <w:t>部门对口机构监管处（科）。</w:t>
      </w:r>
    </w:p>
    <w:p w14:paraId="3FD42BFF">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十六、加强监管跟踪督导。</w:t>
      </w:r>
      <w:r>
        <w:rPr>
          <w:rFonts w:hint="eastAsia" w:ascii="仿宋_GB2312" w:hAnsi="仿宋_GB2312" w:eastAsia="仿宋_GB2312" w:cs="仿宋_GB2312"/>
          <w:color w:val="000000"/>
          <w:sz w:val="32"/>
          <w:szCs w:val="32"/>
          <w:lang w:val="en-US" w:eastAsia="zh-CN"/>
        </w:rPr>
        <w:t>各级金融监管部门要督促机构做好</w:t>
      </w:r>
      <w:r>
        <w:rPr>
          <w:rFonts w:hint="eastAsia" w:ascii="仿宋_GB2312" w:hAnsi="仿宋_GB2312" w:eastAsia="仿宋_GB2312" w:cs="仿宋_GB2312"/>
          <w:color w:val="auto"/>
          <w:sz w:val="32"/>
          <w:szCs w:val="32"/>
          <w:lang w:val="en-US" w:eastAsia="zh-CN"/>
        </w:rPr>
        <w:t>民营经济金融服务情况自评估，并</w:t>
      </w:r>
      <w:r>
        <w:rPr>
          <w:rFonts w:hint="eastAsia" w:ascii="仿宋_GB2312" w:hAnsi="仿宋_GB2312" w:eastAsia="仿宋_GB2312" w:cs="仿宋_GB2312"/>
          <w:color w:val="000000"/>
          <w:sz w:val="32"/>
          <w:szCs w:val="32"/>
          <w:lang w:val="en-US" w:eastAsia="zh-CN"/>
        </w:rPr>
        <w:t>将民营经济金融服务情况纳入机构年度监管评级、小微</w:t>
      </w:r>
      <w:r>
        <w:rPr>
          <w:rFonts w:hint="eastAsia" w:ascii="仿宋_GB2312" w:hAnsi="仿宋_GB2312" w:eastAsia="仿宋_GB2312" w:cs="仿宋_GB2312"/>
          <w:color w:val="000000"/>
          <w:sz w:val="32"/>
          <w:szCs w:val="32"/>
          <w:shd w:val="clear" w:color="auto" w:fill="FFFFFF"/>
          <w:lang w:val="en-US" w:eastAsia="zh-CN"/>
        </w:rPr>
        <w:t>金融监管评价</w:t>
      </w:r>
      <w:r>
        <w:rPr>
          <w:rFonts w:hint="eastAsia" w:ascii="仿宋_GB2312" w:hAnsi="仿宋_GB2312" w:eastAsia="仿宋_GB2312" w:cs="仿宋_GB2312"/>
          <w:color w:val="000000"/>
          <w:sz w:val="32"/>
          <w:szCs w:val="32"/>
          <w:lang w:val="en-US" w:eastAsia="zh-CN"/>
        </w:rPr>
        <w:t>等</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对民营企业贷款新增占比偏低、业务大起大落、首贷户拓展不力、考核权重过低的机构，要加强窗口指导和监管纠偏。</w:t>
      </w:r>
    </w:p>
    <w:p w14:paraId="2F23427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请各金融监管分局将本通知转发至辖内相关金融机构。各机构要围绕上述要求，结合自身实际制定支持民营经济发展专项工作方案，</w:t>
      </w:r>
      <w:r>
        <w:rPr>
          <w:rFonts w:hint="eastAsia" w:ascii="仿宋_GB2312" w:hAnsi="仿宋_GB2312" w:eastAsia="仿宋_GB2312" w:cs="仿宋_GB2312"/>
          <w:color w:val="auto"/>
          <w:sz w:val="32"/>
          <w:szCs w:val="32"/>
          <w:lang w:val="en-US" w:eastAsia="zh-CN"/>
        </w:rPr>
        <w:t>细化明确工作目标和具体落实举措，并于</w:t>
      </w:r>
      <w:r>
        <w:rPr>
          <w:rFonts w:hint="eastAsia" w:ascii="仿宋_GB2312" w:hAnsi="仿宋_GB2312" w:eastAsia="仿宋_GB2312" w:cs="仿宋_GB2312"/>
          <w:color w:val="000000"/>
          <w:sz w:val="32"/>
          <w:szCs w:val="32"/>
          <w:lang w:val="en-US" w:eastAsia="zh-CN"/>
        </w:rPr>
        <w:t>2026年5月底前报送</w:t>
      </w:r>
      <w:r>
        <w:rPr>
          <w:rFonts w:hint="eastAsia" w:ascii="仿宋_GB2312" w:hAnsi="仿宋_GB2312" w:eastAsia="仿宋_GB2312" w:cs="仿宋_GB2312"/>
          <w:color w:val="auto"/>
          <w:sz w:val="32"/>
          <w:szCs w:val="32"/>
          <w:shd w:val="clear" w:color="auto" w:fill="FFFFFF"/>
          <w:lang w:val="en-US" w:eastAsia="zh-CN"/>
        </w:rPr>
        <w:t>属地金融监管</w:t>
      </w:r>
      <w:r>
        <w:rPr>
          <w:rFonts w:hint="eastAsia" w:ascii="仿宋_GB2312" w:hAnsi="仿宋_GB2312" w:eastAsia="仿宋_GB2312" w:cs="仿宋_GB2312"/>
          <w:color w:val="auto"/>
          <w:sz w:val="32"/>
          <w:szCs w:val="32"/>
          <w:lang w:val="en-US" w:eastAsia="zh-CN"/>
        </w:rPr>
        <w:t>部门对口机构监管处（科）</w:t>
      </w:r>
      <w:r>
        <w:rPr>
          <w:rFonts w:hint="eastAsia" w:ascii="仿宋_GB2312" w:hAnsi="仿宋_GB2312" w:eastAsia="仿宋_GB2312" w:cs="仿宋_GB2312"/>
          <w:color w:val="000000"/>
          <w:sz w:val="32"/>
          <w:szCs w:val="32"/>
          <w:lang w:val="en-US" w:eastAsia="zh-CN"/>
        </w:rPr>
        <w:t>。</w:t>
      </w:r>
    </w:p>
    <w:p w14:paraId="38F91CAD">
      <w:pPr>
        <w:spacing w:line="20" w:lineRule="exact"/>
      </w:pPr>
      <w:bookmarkStart w:id="0" w:name="innerSendDept"/>
      <w:bookmarkEnd w:id="0"/>
      <w:bookmarkStart w:id="1" w:name="printDate1"/>
      <w:bookmarkEnd w:id="1"/>
      <w:bookmarkStart w:id="2" w:name="cbdwOpinon"/>
      <w:bookmarkEnd w:id="2"/>
      <w:bookmarkStart w:id="3" w:name="phone"/>
      <w:bookmarkEnd w:id="3"/>
      <w:bookmarkStart w:id="4" w:name="openFile"/>
      <w:bookmarkEnd w:id="4"/>
      <w:bookmarkStart w:id="5" w:name="copySendDept"/>
      <w:bookmarkEnd w:id="5"/>
      <w:bookmarkStart w:id="6" w:name="priority"/>
      <w:bookmarkEnd w:id="6"/>
      <w:bookmarkStart w:id="7" w:name="drafterName"/>
      <w:bookmarkEnd w:id="7"/>
      <w:bookmarkStart w:id="8" w:name="securityLevel"/>
      <w:bookmarkEnd w:id="8"/>
      <w:bookmarkStart w:id="9" w:name="title"/>
      <w:bookmarkEnd w:id="9"/>
      <w:bookmarkStart w:id="10" w:name="attachments"/>
      <w:bookmarkEnd w:id="10"/>
      <w:bookmarkStart w:id="11" w:name="mainSendDept"/>
      <w:bookmarkEnd w:id="11"/>
      <w:bookmarkStart w:id="12" w:name="printDate"/>
      <w:bookmarkEnd w:id="12"/>
      <w:bookmarkStart w:id="13" w:name="outgoingNo"/>
      <w:bookmarkEnd w:id="13"/>
    </w:p>
    <w:p w14:paraId="5865D4D2"/>
    <w:sectPr>
      <w:footerReference r:id="rId3" w:type="default"/>
      <w:footnotePr>
        <w:numFmt w:val="decimal"/>
      </w:footnotePr>
      <w:pgSz w:w="11906" w:h="16838"/>
      <w:pgMar w:top="1814" w:right="1417" w:bottom="1587" w:left="1417" w:header="720" w:footer="992"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61837">
    <w:pPr>
      <w:pStyle w:val="5"/>
      <w:tabs>
        <w:tab w:val="left" w:pos="8483"/>
        <w:tab w:val="left" w:pos="8505"/>
        <w:tab w:val="left" w:pos="8711"/>
        <w:tab w:val="left" w:pos="9775"/>
        <w:tab w:val="left" w:pos="10200"/>
        <w:tab w:val="left" w:pos="10625"/>
        <w:tab w:val="left" w:pos="11050"/>
        <w:tab w:val="left" w:pos="11475"/>
        <w:tab w:val="left" w:pos="11900"/>
        <w:tab w:val="left" w:pos="12325"/>
        <w:tab w:val="left" w:pos="12750"/>
        <w:tab w:val="left" w:pos="13175"/>
      </w:tabs>
      <w:ind w:right="360" w:firstLine="360"/>
      <w:jc w:val="right"/>
      <w:rPr>
        <w:rFonts w:ascii="宋体" w:hAnsi="宋体" w:eastAsia="宋体"/>
        <w:sz w:val="24"/>
      </w:rPr>
    </w:pPr>
    <w:r>
      <w:rPr>
        <w:rFonts w:ascii="宋体" w:hAnsi="宋体" w:eastAsia="宋体"/>
        <w:sz w:val="24"/>
      </w:rPr>
      <w:t xml:space="preserve">— </w:t>
    </w:r>
    <w:r>
      <w:rPr>
        <w:rFonts w:ascii="宋体" w:hAnsi="宋体" w:eastAsia="宋体"/>
        <w:sz w:val="24"/>
      </w:rPr>
      <w:fldChar w:fldCharType="begin"/>
    </w:r>
    <w:r>
      <w:rPr>
        <w:rFonts w:ascii="宋体" w:hAnsi="宋体" w:eastAsia="宋体"/>
        <w:sz w:val="24"/>
      </w:rPr>
      <w:instrText xml:space="preserve"> PAGE \* Arabic </w:instrText>
    </w:r>
    <w:r>
      <w:rPr>
        <w:rFonts w:ascii="宋体" w:hAnsi="宋体" w:eastAsia="宋体"/>
        <w:sz w:val="24"/>
      </w:rPr>
      <w:fldChar w:fldCharType="separate"/>
    </w:r>
    <w:r>
      <w:rPr>
        <w:rFonts w:ascii="宋体" w:hAnsi="宋体" w:eastAsia="宋体"/>
        <w:sz w:val="24"/>
      </w:rPr>
      <w:t>1</w:t>
    </w:r>
    <w:r>
      <w:rPr>
        <w:rFonts w:ascii="宋体" w:hAnsi="宋体" w:eastAsia="宋体"/>
        <w:sz w:val="24"/>
      </w:rPr>
      <w:fldChar w:fldCharType="end"/>
    </w:r>
    <w:r>
      <w:rPr>
        <w:rFonts w:ascii="宋体" w:hAnsi="宋体" w:eastAsia="宋体"/>
        <w:sz w:val="24"/>
      </w:rPr>
      <w:t xml:space="preserve"> —</w:t>
    </w:r>
  </w:p>
  <w:p w14:paraId="3D5C69A6">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26B56"/>
    <w:rsid w:val="5B226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rPr>
  </w:style>
  <w:style w:type="paragraph" w:customStyle="1" w:styleId="5">
    <w:name w:val="页脚 Char Char"/>
    <w:basedOn w:val="6"/>
    <w:qFormat/>
    <w:uiPriority w:val="2"/>
    <w:pPr>
      <w:tabs>
        <w:tab w:val="center" w:pos="4153"/>
        <w:tab w:val="right" w:pos="8306"/>
      </w:tabs>
      <w:jc w:val="left"/>
    </w:pPr>
    <w:rPr>
      <w:sz w:val="18"/>
    </w:rPr>
  </w:style>
  <w:style w:type="paragraph" w:customStyle="1" w:styleId="6">
    <w:name w:val="Normal"/>
    <w:basedOn w:val="7"/>
    <w:qFormat/>
    <w:uiPriority w:val="7"/>
    <w:pPr>
      <w:widowControl/>
      <w:jc w:val="both"/>
    </w:pPr>
    <w:rPr>
      <w:rFonts w:ascii="Times New Roman" w:hAnsi="Times New Roman" w:eastAsia="Times New Roman"/>
      <w:sz w:val="32"/>
    </w:rPr>
  </w:style>
  <w:style w:type="paragraph" w:customStyle="1" w:styleId="7">
    <w:name w:val="[Normal]"/>
    <w:qFormat/>
    <w:uiPriority w:val="6"/>
    <w:rPr>
      <w:rFonts w:ascii="宋体" w:hAnsi="宋体" w:eastAsia="宋体" w:cs="Times New Roman"/>
      <w:color w:val="auto"/>
      <w:position w:val="0"/>
      <w:sz w:val="24"/>
      <w:u w:val="none"/>
      <w:shd w:val="clear" w:color="auto" w:fill="auto"/>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2026-05-18T07:57:00Z</dcterms:created>
  <dc:creator>小小小小小西瓜</dc:creator>
  <cp:lastModifiedBy>小小小小小西瓜</cp:lastModifiedBy>
  <dcterms:modified xsi:type="dcterms:W3CDTF">2026-05-18T07:58:20Z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F271F88254A7412AACD08A2004FA21E1_11</vt:lpwstr>
  </property>
  <property fmtid="{D5CDD505-2E9C-101B-9397-08002B2CF9AE}" pid="4" name="KSOTemplateDocerSaveRecord">
    <vt:lpwstr>eyJoZGlkIjoiMWQ2YWQ0MjQ1OThiNjFlZTY0OTE2NzQyYzI5OTViODIiLCJ1c2VySWQiOiI1MTIyMjU2MTgifQ==</vt:lpwstr>
  </property>
</Properties>
</file>