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
          <w:color w:val="auto"/>
          <w:sz w:val="32"/>
          <w:szCs w:val="32"/>
        </w:rPr>
      </w:pPr>
      <w:bookmarkStart w:id="30" w:name="_GoBack"/>
      <w:bookmarkEnd w:id="30"/>
      <w:bookmarkStart w:id="0" w:name="文字1"/>
      <w:r>
        <w:rPr>
          <w:rFonts w:hint="eastAsia" w:ascii="黑体" w:hAnsi="宋体" w:eastAsia="黑体"/>
          <w:b/>
          <w:color w:val="auto"/>
          <w:sz w:val="32"/>
          <w:szCs w:val="32"/>
          <w:lang w:val="en-US" w:eastAsia="zh-CN"/>
        </w:rPr>
        <w:t>安康汉滨</w:t>
      </w:r>
      <w:bookmarkEnd w:id="0"/>
      <w:r>
        <w:rPr>
          <w:rFonts w:hint="eastAsia" w:ascii="黑体" w:hAnsi="宋体" w:eastAsia="黑体"/>
          <w:b/>
          <w:color w:val="auto"/>
          <w:sz w:val="32"/>
          <w:szCs w:val="32"/>
        </w:rPr>
        <w:t>中银富登村镇银行有限公司章程</w:t>
      </w:r>
    </w:p>
    <w:p>
      <w:pPr>
        <w:jc w:val="center"/>
        <w:rPr>
          <w:rFonts w:ascii="宋体" w:hAnsi="宋体"/>
          <w:color w:val="auto"/>
        </w:rPr>
      </w:pPr>
    </w:p>
    <w:p>
      <w:pPr>
        <w:pStyle w:val="67"/>
        <w:ind w:left="1419" w:firstLine="2409" w:firstLineChars="1000"/>
        <w:rPr>
          <w:rFonts w:ascii="宋体" w:hAnsi="宋体"/>
          <w:b/>
          <w:color w:val="auto"/>
        </w:rPr>
      </w:pPr>
      <w:r>
        <w:rPr>
          <w:rFonts w:hint="eastAsia" w:ascii="宋体" w:hAnsi="宋体"/>
          <w:b/>
          <w:color w:val="auto"/>
        </w:rPr>
        <w:t>第一章 总 则</w:t>
      </w:r>
    </w:p>
    <w:p>
      <w:pPr>
        <w:pStyle w:val="67"/>
        <w:ind w:left="900" w:firstLine="0" w:firstLineChars="0"/>
        <w:rPr>
          <w:rFonts w:ascii="宋体" w:hAnsi="宋体"/>
          <w:b/>
          <w:color w:val="auto"/>
        </w:rPr>
      </w:pPr>
    </w:p>
    <w:p>
      <w:pPr>
        <w:numPr>
          <w:ilvl w:val="0"/>
          <w:numId w:val="3"/>
        </w:numPr>
        <w:ind w:left="0" w:firstLine="426"/>
        <w:rPr>
          <w:rFonts w:ascii="宋体" w:hAnsi="宋体"/>
          <w:color w:val="auto"/>
        </w:rPr>
      </w:pPr>
      <w:r>
        <w:rPr>
          <w:rFonts w:hint="eastAsia" w:ascii="宋体" w:hAnsi="宋体"/>
          <w:color w:val="auto"/>
        </w:rPr>
        <w:t>为维护</w:t>
      </w:r>
      <w:bookmarkStart w:id="1" w:name="文字2"/>
      <w:r>
        <w:rPr>
          <w:rFonts w:hint="eastAsia" w:ascii="宋体" w:hAnsi="宋体"/>
          <w:color w:val="auto"/>
          <w:lang w:val="en-US" w:eastAsia="zh-CN"/>
        </w:rPr>
        <w:t>安康汉滨</w:t>
      </w:r>
      <w:bookmarkEnd w:id="1"/>
      <w:r>
        <w:rPr>
          <w:rFonts w:hint="eastAsia" w:ascii="宋体" w:hAnsi="宋体"/>
          <w:color w:val="auto"/>
        </w:rPr>
        <w:t>中银富登村镇银行有限公司（以下简</w:t>
      </w:r>
      <w:r>
        <w:rPr>
          <w:rFonts w:hint="eastAsia" w:ascii="宋体" w:hAnsi="宋体" w:eastAsia="宋体" w:cs="Times New Roman"/>
          <w:color w:val="auto"/>
        </w:rPr>
        <w:t>称“本行”）、股</w:t>
      </w:r>
      <w:r>
        <w:rPr>
          <w:rFonts w:hint="eastAsia" w:ascii="宋体" w:hAnsi="宋体"/>
          <w:color w:val="auto"/>
        </w:rPr>
        <w:t>东和债权人的合法权益，规范本行的组织和行为，根据《中华人民共和国公司法》（以下简称“</w:t>
      </w:r>
      <w:r>
        <w:rPr>
          <w:rFonts w:hint="eastAsia" w:ascii="宋体" w:hAnsi="宋体" w:eastAsia="宋体" w:cs="Times New Roman"/>
          <w:color w:val="auto"/>
        </w:rPr>
        <w:t>《公司法》”）、《中华人民共和国商业银行法》（以下简称“《商业银行法》”）</w:t>
      </w:r>
      <w:r>
        <w:rPr>
          <w:rFonts w:hint="eastAsia" w:ascii="宋体" w:hAnsi="宋体" w:eastAsia="宋体" w:cs="Times New Roman"/>
          <w:color w:val="auto"/>
          <w:lang w:val="en-AU"/>
        </w:rPr>
        <w:t>等</w:t>
      </w:r>
      <w:r>
        <w:rPr>
          <w:rFonts w:hint="eastAsia" w:ascii="宋体" w:hAnsi="宋体" w:eastAsia="宋体" w:cs="Times New Roman"/>
          <w:color w:val="auto"/>
        </w:rPr>
        <w:t>有关</w:t>
      </w:r>
      <w:r>
        <w:rPr>
          <w:rFonts w:hint="eastAsia" w:ascii="宋体" w:hAnsi="宋体"/>
          <w:color w:val="auto"/>
        </w:rPr>
        <w:t>法律法规规定，制订本章程。</w:t>
      </w:r>
    </w:p>
    <w:p>
      <w:pPr>
        <w:numPr>
          <w:ilvl w:val="0"/>
          <w:numId w:val="3"/>
        </w:numPr>
        <w:ind w:left="0" w:firstLine="426"/>
        <w:rPr>
          <w:rFonts w:ascii="宋体" w:hAnsi="宋体"/>
          <w:color w:val="auto"/>
        </w:rPr>
      </w:pPr>
      <w:r>
        <w:rPr>
          <w:rFonts w:hint="eastAsia"/>
          <w:color w:val="auto"/>
        </w:rPr>
        <w:t>本行具有独立的企业法人资格，享有由股东投资形成的全部法人财产权，依法享有民事权利，并以全部法人财产独立承担民事责任</w:t>
      </w:r>
      <w:r>
        <w:rPr>
          <w:rFonts w:hint="eastAsia" w:ascii="宋体" w:hAnsi="宋体"/>
          <w:color w:val="auto"/>
        </w:rPr>
        <w:t>。</w:t>
      </w:r>
    </w:p>
    <w:p>
      <w:pPr>
        <w:numPr>
          <w:ilvl w:val="0"/>
          <w:numId w:val="3"/>
        </w:numPr>
        <w:ind w:left="0" w:firstLine="426"/>
        <w:rPr>
          <w:rFonts w:ascii="宋体" w:hAnsi="宋体"/>
          <w:color w:val="auto"/>
        </w:rPr>
      </w:pPr>
      <w:r>
        <w:rPr>
          <w:rFonts w:hint="eastAsia" w:ascii="宋体" w:hAnsi="宋体"/>
          <w:color w:val="auto"/>
        </w:rPr>
        <w:t>本行注册名称：</w:t>
      </w:r>
      <w:r>
        <w:rPr>
          <w:rFonts w:hint="eastAsia" w:ascii="宋体" w:hAnsi="宋体"/>
          <w:color w:val="auto"/>
          <w:lang w:val="en-GB"/>
        </w:rPr>
        <w:t>安康汉滨</w:t>
      </w:r>
      <w:r>
        <w:rPr>
          <w:rFonts w:hint="eastAsia" w:ascii="宋体" w:hAnsi="宋体"/>
          <w:bCs/>
          <w:color w:val="auto"/>
        </w:rPr>
        <w:t>中银富登村镇银行有限公司</w:t>
      </w:r>
    </w:p>
    <w:p>
      <w:pPr>
        <w:ind w:firstLine="1800" w:firstLineChars="750"/>
        <w:rPr>
          <w:rFonts w:ascii="宋体" w:hAnsi="宋体"/>
          <w:color w:val="auto"/>
        </w:rPr>
      </w:pPr>
      <w:r>
        <w:rPr>
          <w:rFonts w:hint="eastAsia" w:ascii="宋体" w:hAnsi="宋体"/>
          <w:color w:val="auto"/>
        </w:rPr>
        <w:t>中文简称：</w:t>
      </w:r>
      <w:r>
        <w:rPr>
          <w:rFonts w:hint="eastAsia" w:ascii="宋体" w:hAnsi="宋体"/>
          <w:color w:val="auto"/>
          <w:lang w:val="en-GB"/>
        </w:rPr>
        <w:t>安康汉滨</w:t>
      </w:r>
      <w:r>
        <w:rPr>
          <w:rFonts w:hint="eastAsia" w:ascii="宋体" w:hAnsi="宋体"/>
          <w:color w:val="auto"/>
        </w:rPr>
        <w:t>中银富登村镇银行</w:t>
      </w:r>
    </w:p>
    <w:p>
      <w:pPr>
        <w:adjustRightInd w:val="0"/>
        <w:snapToGrid w:val="0"/>
        <w:ind w:firstLine="1800" w:firstLineChars="750"/>
        <w:rPr>
          <w:rFonts w:ascii="宋体" w:hAnsi="宋体"/>
          <w:color w:val="auto"/>
          <w:spacing w:val="-8"/>
        </w:rPr>
      </w:pPr>
      <w:r>
        <w:rPr>
          <w:rFonts w:hint="eastAsia" w:ascii="宋体" w:hAnsi="宋体"/>
          <w:color w:val="auto"/>
        </w:rPr>
        <w:t>英文全称：</w:t>
      </w:r>
      <w:r>
        <w:rPr>
          <w:rFonts w:ascii="宋体" w:hAnsi="宋体"/>
          <w:color w:val="auto"/>
        </w:rPr>
        <w:t>Ankang Hanbin</w:t>
      </w:r>
      <w:r>
        <w:rPr>
          <w:rFonts w:hint="eastAsia" w:ascii="宋体" w:hAnsi="宋体"/>
          <w:color w:val="auto"/>
          <w:lang w:val="en-GB"/>
        </w:rPr>
        <w:t xml:space="preserve"> </w:t>
      </w:r>
      <w:r>
        <w:rPr>
          <w:rFonts w:ascii="宋体" w:hAnsi="宋体"/>
          <w:color w:val="auto"/>
          <w:lang w:val="en-AU"/>
        </w:rPr>
        <w:t>BOC Fullerton Community Bank</w:t>
      </w:r>
      <w:r>
        <w:rPr>
          <w:rFonts w:hint="eastAsia" w:ascii="宋体" w:hAnsi="宋体"/>
          <w:color w:val="auto"/>
          <w:lang w:val="en-AU"/>
        </w:rPr>
        <w:t xml:space="preserve"> </w:t>
      </w:r>
      <w:r>
        <w:rPr>
          <w:rFonts w:ascii="宋体" w:hAnsi="宋体"/>
          <w:color w:val="auto"/>
          <w:lang w:val="en-AU"/>
        </w:rPr>
        <w:t>Ltd</w:t>
      </w:r>
      <w:r>
        <w:rPr>
          <w:rFonts w:hint="eastAsia" w:ascii="宋体" w:hAnsi="宋体"/>
          <w:color w:val="auto"/>
          <w:lang w:val="en-AU"/>
        </w:rPr>
        <w:t>.</w:t>
      </w:r>
    </w:p>
    <w:p>
      <w:pPr>
        <w:adjustRightInd w:val="0"/>
        <w:snapToGrid w:val="0"/>
        <w:ind w:firstLine="1800" w:firstLineChars="750"/>
        <w:rPr>
          <w:rFonts w:ascii="宋体" w:hAnsi="宋体"/>
          <w:color w:val="auto"/>
          <w:lang w:val="en-AU"/>
        </w:rPr>
      </w:pPr>
      <w:r>
        <w:rPr>
          <w:rFonts w:hint="eastAsia" w:ascii="宋体" w:hAnsi="宋体"/>
          <w:color w:val="auto"/>
        </w:rPr>
        <w:t>英文简称：</w:t>
      </w:r>
      <w:r>
        <w:rPr>
          <w:rFonts w:ascii="宋体" w:hAnsi="宋体"/>
          <w:color w:val="auto"/>
        </w:rPr>
        <w:t>Ankang Hanbin BOC Fullerton</w:t>
      </w:r>
      <w:r>
        <w:rPr>
          <w:rFonts w:ascii="宋体" w:hAnsi="宋体"/>
          <w:color w:val="auto"/>
          <w:lang w:val="en-GB"/>
        </w:rPr>
        <w:t xml:space="preserve"> </w:t>
      </w:r>
      <w:r>
        <w:rPr>
          <w:rFonts w:ascii="宋体" w:hAnsi="宋体"/>
          <w:color w:val="auto"/>
          <w:lang w:val="en-AU"/>
        </w:rPr>
        <w:t>Community Bank</w:t>
      </w:r>
    </w:p>
    <w:p>
      <w:pPr>
        <w:ind w:firstLine="1800" w:firstLineChars="750"/>
        <w:rPr>
          <w:rFonts w:ascii="宋体" w:hAnsi="宋体"/>
          <w:color w:val="auto"/>
        </w:rPr>
      </w:pPr>
      <w:r>
        <w:rPr>
          <w:rFonts w:hint="eastAsia" w:ascii="宋体" w:hAnsi="宋体"/>
          <w:color w:val="auto"/>
        </w:rPr>
        <w:t>本行住所：陕西省安康市汉滨区巴山西路184号（金川村）</w:t>
      </w:r>
    </w:p>
    <w:p>
      <w:pPr>
        <w:numPr>
          <w:ilvl w:val="0"/>
          <w:numId w:val="3"/>
        </w:numPr>
        <w:ind w:left="0" w:firstLine="426"/>
        <w:rPr>
          <w:rFonts w:hint="default" w:ascii="宋体" w:hAnsi="宋体" w:eastAsia="宋体" w:cs="Times New Roman"/>
          <w:color w:val="auto"/>
          <w:highlight w:val="none"/>
          <w:lang w:val="en-US" w:eastAsia="zh-CN"/>
        </w:rPr>
      </w:pPr>
      <w:r>
        <w:rPr>
          <w:rFonts w:hint="eastAsia" w:ascii="宋体" w:hAnsi="宋体"/>
          <w:color w:val="auto"/>
        </w:rPr>
        <w:t>本行系依照《中华人民共和国公司法》，经银行业监督管理机构依据有关法律、行政法规批准，由中国银行股份有限公司、Fullerton Financial Holdings Pte. Ltd.（富登金融控股私人有限公司）及</w:t>
      </w:r>
      <w:r>
        <w:rPr>
          <w:rFonts w:hint="eastAsia" w:ascii="宋体" w:hAnsi="宋体" w:eastAsia="宋体" w:cs="Times New Roman"/>
          <w:color w:val="auto"/>
          <w:highlight w:val="none"/>
        </w:rPr>
        <w:t>陕西省安康市兴华建设集团家装贸易有限公司</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安康市恒翔生物化工有限公司</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安康市硒源油脂集团有限公司</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安康市龙泰养殖有限公司</w:t>
      </w:r>
      <w:r>
        <w:rPr>
          <w:rFonts w:hint="eastAsia" w:ascii="宋体" w:hAnsi="宋体"/>
          <w:color w:val="auto"/>
        </w:rPr>
        <w:t>（合计6家股东）共同设立，主要为农民、农业和农村经济发展以及县域经济提供服务的银行业金融机构</w:t>
      </w:r>
      <w:r>
        <w:rPr>
          <w:rFonts w:hint="eastAsia" w:eastAsia="宋体"/>
          <w:color w:val="auto"/>
          <w:lang w:eastAsia="zh-CN"/>
        </w:rPr>
        <w:t>。</w:t>
      </w:r>
      <w:r>
        <w:rPr>
          <w:rFonts w:hint="eastAsia" w:eastAsia="宋体"/>
          <w:color w:val="auto"/>
          <w:lang w:val="en-US" w:eastAsia="zh-CN"/>
        </w:rPr>
        <w:t>2021年12月7日，经银行业监督管理机构批准，本行股东由</w:t>
      </w:r>
      <w:r>
        <w:rPr>
          <w:rFonts w:hint="eastAsia" w:ascii="宋体" w:hAnsi="宋体"/>
          <w:color w:val="auto"/>
        </w:rPr>
        <w:t>中国银行股份有限公司、Fullerton Financial Holdings Pte. Ltd.（富登金融控股私人有限公司）</w:t>
      </w:r>
      <w:r>
        <w:rPr>
          <w:rFonts w:hint="eastAsia" w:ascii="宋体" w:hAnsi="宋体" w:eastAsia="宋体"/>
          <w:color w:val="auto"/>
          <w:lang w:eastAsia="zh-CN"/>
        </w:rPr>
        <w:t>、</w:t>
      </w:r>
      <w:r>
        <w:rPr>
          <w:rFonts w:hint="eastAsia" w:ascii="宋体" w:hAnsi="宋体" w:eastAsia="宋体" w:cs="Times New Roman"/>
          <w:color w:val="auto"/>
          <w:highlight w:val="none"/>
        </w:rPr>
        <w:t>陕西省安康市兴华建设集团家装贸易有限公司</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安康市恒翔生物化工有限公司</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安康市硒源油脂集团有限公司</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安康市龙泰养殖有限公司</w:t>
      </w:r>
      <w:r>
        <w:rPr>
          <w:rFonts w:hint="eastAsia" w:ascii="宋体" w:hAnsi="宋体" w:eastAsia="宋体" w:cs="Times New Roman"/>
          <w:color w:val="auto"/>
          <w:highlight w:val="none"/>
          <w:lang w:val="en-US" w:eastAsia="zh-CN"/>
        </w:rPr>
        <w:t>变更为</w:t>
      </w:r>
      <w:r>
        <w:rPr>
          <w:rFonts w:hint="eastAsia" w:ascii="宋体" w:hAnsi="宋体" w:eastAsia="宋体" w:cs="Times New Roman"/>
          <w:color w:val="auto"/>
          <w:highlight w:val="none"/>
        </w:rPr>
        <w:t>中银富登村镇银行股份有限公司</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陕西省安康市兴华建设集团家装贸易有限公司</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安康市恒翔生物化工有限公司</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安康市硒源油脂集团有限公司</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安康市龙泰养殖有限公司</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2025年1月23日，</w:t>
      </w:r>
      <w:r>
        <w:rPr>
          <w:rFonts w:hint="eastAsia" w:eastAsia="宋体"/>
          <w:color w:val="auto"/>
          <w:lang w:val="en-US" w:eastAsia="zh-CN"/>
        </w:rPr>
        <w:t>经银行业监督管理机构批准，本行股东由</w:t>
      </w:r>
      <w:r>
        <w:rPr>
          <w:rFonts w:hint="eastAsia" w:ascii="宋体" w:hAnsi="宋体" w:eastAsia="宋体" w:cs="Times New Roman"/>
          <w:color w:val="auto"/>
          <w:highlight w:val="none"/>
        </w:rPr>
        <w:t>中银富登村镇银行股份有限公司</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陕西省安康市兴华建设集团家装贸易有限公司</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安康市恒翔生物化工有限公司</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安康市硒源油脂集团有限公司</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安康市龙泰养殖有限公司</w:t>
      </w:r>
      <w:r>
        <w:rPr>
          <w:rFonts w:hint="eastAsia" w:ascii="宋体" w:hAnsi="宋体" w:eastAsia="宋体" w:cs="Times New Roman"/>
          <w:color w:val="auto"/>
          <w:highlight w:val="none"/>
          <w:lang w:val="en-US" w:eastAsia="zh-CN"/>
        </w:rPr>
        <w:t>变更为</w:t>
      </w:r>
      <w:r>
        <w:rPr>
          <w:rFonts w:hint="eastAsia" w:ascii="宋体" w:hAnsi="宋体" w:eastAsia="宋体" w:cs="Times New Roman"/>
          <w:color w:val="auto"/>
          <w:highlight w:val="none"/>
        </w:rPr>
        <w:t>中银富登村镇银行股份有限公司</w:t>
      </w:r>
      <w:r>
        <w:rPr>
          <w:rFonts w:hint="eastAsia" w:ascii="宋体" w:hAnsi="宋体" w:eastAsia="宋体" w:cs="Times New Roman"/>
          <w:color w:val="auto"/>
          <w:highlight w:val="none"/>
          <w:lang w:eastAsia="zh-CN"/>
        </w:rPr>
        <w:t>。</w:t>
      </w:r>
    </w:p>
    <w:p>
      <w:pPr>
        <w:ind w:firstLine="480" w:firstLineChars="200"/>
        <w:rPr>
          <w:rFonts w:ascii="宋体" w:hAnsi="宋体"/>
          <w:color w:val="auto"/>
        </w:rPr>
      </w:pPr>
      <w:r>
        <w:rPr>
          <w:rFonts w:hint="eastAsia" w:ascii="宋体" w:hAnsi="宋体"/>
          <w:color w:val="auto"/>
        </w:rPr>
        <w:t>本行</w:t>
      </w:r>
      <w:r>
        <w:rPr>
          <w:rFonts w:ascii="宋体" w:hAnsi="宋体"/>
          <w:color w:val="auto"/>
        </w:rPr>
        <w:t>的</w:t>
      </w:r>
      <w:r>
        <w:rPr>
          <w:rFonts w:hint="eastAsia" w:ascii="宋体" w:hAnsi="宋体"/>
          <w:color w:val="auto"/>
        </w:rPr>
        <w:t>股东</w:t>
      </w:r>
      <w:r>
        <w:rPr>
          <w:rFonts w:ascii="宋体" w:hAnsi="宋体"/>
          <w:color w:val="auto"/>
        </w:rPr>
        <w:t>如下：</w:t>
      </w:r>
    </w:p>
    <w:p>
      <w:pPr>
        <w:ind w:firstLine="482" w:firstLineChars="200"/>
        <w:rPr>
          <w:rFonts w:ascii="宋体" w:hAnsi="宋体"/>
          <w:color w:val="auto"/>
        </w:rPr>
      </w:pPr>
      <w:r>
        <w:rPr>
          <w:rFonts w:hint="eastAsia" w:ascii="宋体" w:hAnsi="宋体"/>
          <w:b/>
          <w:color w:val="auto"/>
        </w:rPr>
        <w:t>中银富登</w:t>
      </w:r>
      <w:r>
        <w:rPr>
          <w:rFonts w:ascii="宋体" w:hAnsi="宋体"/>
          <w:b/>
          <w:color w:val="auto"/>
        </w:rPr>
        <w:t>村镇银行股份有限公司</w:t>
      </w:r>
      <w:r>
        <w:rPr>
          <w:rFonts w:hint="eastAsia" w:ascii="宋体" w:hAnsi="宋体"/>
          <w:color w:val="auto"/>
        </w:rPr>
        <w:t>（以下简称</w:t>
      </w:r>
      <w:r>
        <w:rPr>
          <w:rFonts w:hint="eastAsia" w:ascii="宋体" w:hAnsi="宋体" w:eastAsia="宋体" w:cs="Times New Roman"/>
          <w:color w:val="auto"/>
        </w:rPr>
        <w:t>“中银富登”或“主发起行”</w:t>
      </w:r>
      <w:r>
        <w:rPr>
          <w:rFonts w:hint="eastAsia" w:ascii="宋体" w:hAnsi="宋体"/>
          <w:color w:val="auto"/>
        </w:rPr>
        <w:t>）</w:t>
      </w:r>
      <w:r>
        <w:rPr>
          <w:rFonts w:ascii="宋体" w:hAnsi="宋体"/>
          <w:color w:val="auto"/>
        </w:rPr>
        <w:t>，一家</w:t>
      </w:r>
      <w:r>
        <w:rPr>
          <w:rFonts w:hint="eastAsia" w:ascii="宋体" w:hAnsi="宋体"/>
          <w:color w:val="auto"/>
        </w:rPr>
        <w:t>依照中华人民共和国法律</w:t>
      </w:r>
      <w:r>
        <w:rPr>
          <w:rFonts w:ascii="宋体" w:hAnsi="宋体"/>
          <w:color w:val="auto"/>
        </w:rPr>
        <w:t>成立于中国</w:t>
      </w:r>
      <w:r>
        <w:rPr>
          <w:rFonts w:hint="eastAsia" w:ascii="宋体" w:hAnsi="宋体"/>
          <w:color w:val="auto"/>
        </w:rPr>
        <w:t>河北省</w:t>
      </w:r>
      <w:r>
        <w:rPr>
          <w:rFonts w:ascii="宋体" w:hAnsi="宋体"/>
          <w:color w:val="auto"/>
        </w:rPr>
        <w:t>保定市的股份有限公司，其法定地址为</w:t>
      </w:r>
      <w:r>
        <w:rPr>
          <w:rFonts w:hint="eastAsia" w:ascii="宋体" w:hAnsi="宋体"/>
          <w:color w:val="auto"/>
        </w:rPr>
        <w:t>河北省保定市容城县金容中街西古城路南</w:t>
      </w:r>
      <w:r>
        <w:rPr>
          <w:rFonts w:ascii="宋体" w:hAnsi="宋体"/>
          <w:color w:val="auto"/>
        </w:rPr>
        <w:t>。</w:t>
      </w:r>
    </w:p>
    <w:p>
      <w:pPr>
        <w:numPr>
          <w:ilvl w:val="0"/>
          <w:numId w:val="3"/>
        </w:numPr>
        <w:ind w:left="0" w:firstLine="426"/>
        <w:rPr>
          <w:rFonts w:ascii="宋体" w:hAnsi="宋体"/>
          <w:color w:val="auto"/>
        </w:rPr>
      </w:pPr>
      <w:r>
        <w:rPr>
          <w:rFonts w:hint="eastAsia" w:ascii="宋体" w:hAnsi="宋体"/>
          <w:color w:val="auto"/>
        </w:rPr>
        <w:t>本行注册资本为人民币（大写）</w:t>
      </w:r>
      <w:r>
        <w:rPr>
          <w:rFonts w:hint="eastAsia" w:ascii="宋体" w:hAnsi="宋体"/>
          <w:color w:val="auto"/>
          <w:lang w:val="en-US" w:eastAsia="zh-CN"/>
        </w:rPr>
        <w:t>陆仟</w:t>
      </w:r>
      <w:r>
        <w:rPr>
          <w:rFonts w:hint="eastAsia" w:ascii="宋体" w:hAnsi="宋体"/>
          <w:color w:val="auto"/>
        </w:rPr>
        <w:t>万元整（小写RMB</w:t>
      </w:r>
      <w:bookmarkStart w:id="2" w:name="文字3"/>
      <w:r>
        <w:rPr>
          <w:rFonts w:hint="eastAsia" w:ascii="宋体" w:hAnsi="宋体"/>
          <w:color w:val="auto"/>
        </w:rPr>
        <w:t>¥</w:t>
      </w:r>
      <w:r>
        <w:rPr>
          <w:rFonts w:hint="eastAsia" w:ascii="宋体" w:hAnsi="宋体"/>
          <w:color w:val="auto"/>
          <w:lang w:val="en-US" w:eastAsia="zh-CN"/>
        </w:rPr>
        <w:t>60000000.00</w:t>
      </w:r>
      <w:bookmarkEnd w:id="2"/>
      <w:r>
        <w:rPr>
          <w:rFonts w:ascii="宋体" w:hAnsi="宋体"/>
          <w:color w:val="auto"/>
        </w:rPr>
        <w:t>）</w:t>
      </w:r>
      <w:r>
        <w:rPr>
          <w:rFonts w:hint="eastAsia" w:ascii="宋体" w:hAnsi="宋体"/>
          <w:color w:val="auto"/>
        </w:rPr>
        <w:t>。</w:t>
      </w:r>
    </w:p>
    <w:p>
      <w:pPr>
        <w:numPr>
          <w:ilvl w:val="0"/>
          <w:numId w:val="3"/>
        </w:numPr>
        <w:ind w:left="0" w:firstLine="426"/>
        <w:rPr>
          <w:rFonts w:hint="eastAsia" w:ascii="宋体" w:hAnsi="宋体" w:eastAsia="Times New Roman" w:cs="Times New Roman"/>
          <w:color w:val="auto"/>
        </w:rPr>
      </w:pPr>
      <w:r>
        <w:rPr>
          <w:rFonts w:hint="eastAsia" w:ascii="宋体" w:hAnsi="宋体" w:eastAsia="Times New Roman" w:cs="Times New Roman"/>
          <w:color w:val="auto"/>
          <w:lang w:val="en-US" w:eastAsia="zh-CN"/>
        </w:rPr>
        <w:t>本行董事长为代表本行执行公司事务的董事，为本行的法定代表人</w:t>
      </w:r>
      <w:r>
        <w:rPr>
          <w:rFonts w:hint="eastAsia" w:ascii="宋体" w:hAnsi="宋体" w:eastAsia="Times New Roman" w:cs="Times New Roman"/>
          <w:color w:val="auto"/>
        </w:rPr>
        <w:t>。</w:t>
      </w:r>
    </w:p>
    <w:p>
      <w:pPr>
        <w:numPr>
          <w:ilvl w:val="0"/>
          <w:numId w:val="3"/>
        </w:numPr>
        <w:ind w:left="0" w:firstLine="426"/>
        <w:rPr>
          <w:rFonts w:ascii="宋体" w:hAnsi="宋体"/>
          <w:color w:val="auto"/>
        </w:rPr>
      </w:pPr>
      <w:r>
        <w:rPr>
          <w:rFonts w:hint="eastAsia" w:ascii="宋体" w:hAnsi="宋体"/>
          <w:color w:val="auto"/>
        </w:rPr>
        <w:t>本章程经本行股东决定通过并经有权限的银行业监督管理机构核准之后生效。本章程自生效之日起，即成为规范本行的组织与行为、本行与股东之间权利义务关系的具有法律约束力的文件，对本行、股东、董事、监事、高级管理人员具有法律约束力的文件。</w:t>
      </w:r>
    </w:p>
    <w:p>
      <w:pPr>
        <w:numPr>
          <w:ilvl w:val="0"/>
          <w:numId w:val="3"/>
        </w:numPr>
        <w:ind w:left="0" w:firstLine="426"/>
        <w:rPr>
          <w:rFonts w:ascii="宋体" w:hAnsi="宋体"/>
          <w:color w:val="auto"/>
        </w:rPr>
      </w:pPr>
      <w:r>
        <w:rPr>
          <w:rFonts w:hint="eastAsia" w:ascii="宋体" w:hAnsi="宋体"/>
          <w:color w:val="auto"/>
        </w:rPr>
        <w:t>本章程中所称高级管理人员是指本行的行长、副行长以及董事会确定的其他管理人员。本行高级管理人员须具备银行业监督管理机构规定的任职资格。</w:t>
      </w:r>
    </w:p>
    <w:p>
      <w:pPr>
        <w:numPr>
          <w:ilvl w:val="0"/>
          <w:numId w:val="3"/>
        </w:numPr>
        <w:ind w:left="0" w:firstLine="426"/>
        <w:rPr>
          <w:rFonts w:ascii="宋体" w:hAnsi="宋体"/>
          <w:color w:val="auto"/>
        </w:rPr>
      </w:pPr>
      <w:r>
        <w:rPr>
          <w:rFonts w:hint="eastAsia" w:ascii="宋体" w:hAnsi="宋体"/>
          <w:color w:val="auto"/>
        </w:rPr>
        <w:t>本行依法执行国家有关法律法规和规章，执行国家金融方针和政策，依法接受银行业监督管理机构、人民银行以及其他有权机关的监督管理。</w:t>
      </w:r>
    </w:p>
    <w:p>
      <w:pPr>
        <w:numPr>
          <w:ilvl w:val="0"/>
          <w:numId w:val="3"/>
        </w:numPr>
        <w:ind w:left="0" w:firstLine="426"/>
        <w:rPr>
          <w:rFonts w:ascii="宋体" w:hAnsi="宋体"/>
          <w:color w:val="auto"/>
        </w:rPr>
      </w:pPr>
      <w:r>
        <w:rPr>
          <w:rFonts w:hint="eastAsia" w:ascii="宋体" w:hAnsi="宋体"/>
          <w:color w:val="auto"/>
        </w:rPr>
        <w:t>根据经营管理和业务发展需要，经银行业监督管理机构审查批准，本行可以依照法律、行政法规、规章和本章程的规定，在县域范围内设立分支机构。分支机构不具有独立法人资格，在本行授权范围内依法开展业务，其民事责任由本行承担。本行对各分支机构的主要人事任免、业务政策、综合计划、基本规章制度和涉外事务等实行统一领导和管理，对分支机构实行统一核算、统一调度资金、分级管理的财务制度。</w:t>
      </w:r>
    </w:p>
    <w:p>
      <w:pPr>
        <w:numPr>
          <w:ilvl w:val="0"/>
          <w:numId w:val="3"/>
        </w:numPr>
        <w:ind w:left="0" w:firstLine="426"/>
        <w:rPr>
          <w:rFonts w:ascii="宋体" w:hAnsi="宋体"/>
          <w:color w:val="auto"/>
        </w:rPr>
      </w:pPr>
      <w:r>
        <w:rPr>
          <w:rFonts w:hint="eastAsia"/>
          <w:color w:val="auto"/>
        </w:rPr>
        <w:t>本行要加强党组织建设，按照上级党委要求认真落实基层党组织的各项工作。本行为工会提供必要的活动条件，维护职工合法权益。本行设立中国共产党的组织，建立党组织机构，配备党务工作人员。党组织机构配置、人员编制纳入本行管理机构和编制，党组织机构工作经费纳入本行预算，从本行管理费中列支。党组织机构在本行发挥领导核心和政治核心作用，并按照《党章》的要求开展工作，但不代替股东及董事会作出任何的决策。本行坚持和完善双向进入，交叉任职的领导体制，符合条件的党组织领导班子成员可以通过法定程序进入董事会、监事会、高级管理层，董事会、监事会、高级管理人员中符合条件的党员可以依照有关规定和程序进入党组织领导班子，高级管理人员与党组织领导班子成员适度交叉任职。党组织机构应对行内重大事项进行集体研究把关。</w:t>
      </w:r>
    </w:p>
    <w:p>
      <w:pPr>
        <w:numPr>
          <w:ilvl w:val="0"/>
          <w:numId w:val="0"/>
        </w:numPr>
        <w:ind w:left="426" w:leftChars="0"/>
        <w:rPr>
          <w:rFonts w:ascii="宋体" w:hAnsi="宋体"/>
          <w:color w:val="auto"/>
        </w:rPr>
      </w:pPr>
    </w:p>
    <w:p>
      <w:pPr>
        <w:jc w:val="center"/>
        <w:rPr>
          <w:rFonts w:ascii="宋体" w:hAnsi="宋体"/>
          <w:b/>
          <w:color w:val="auto"/>
        </w:rPr>
      </w:pPr>
      <w:r>
        <w:rPr>
          <w:rFonts w:hint="eastAsia" w:ascii="宋体" w:hAnsi="宋体"/>
          <w:b/>
          <w:color w:val="auto"/>
        </w:rPr>
        <w:t>第二章 经营宗旨和经营范围</w:t>
      </w:r>
    </w:p>
    <w:p>
      <w:pPr>
        <w:jc w:val="center"/>
        <w:rPr>
          <w:rFonts w:ascii="宋体" w:hAnsi="宋体"/>
          <w:b/>
          <w:color w:val="auto"/>
        </w:rPr>
      </w:pPr>
    </w:p>
    <w:p>
      <w:pPr>
        <w:numPr>
          <w:ilvl w:val="0"/>
          <w:numId w:val="3"/>
        </w:numPr>
        <w:ind w:left="0" w:firstLine="426"/>
        <w:rPr>
          <w:rFonts w:ascii="宋体" w:hAnsi="宋体"/>
          <w:color w:val="auto"/>
        </w:rPr>
      </w:pPr>
      <w:r>
        <w:rPr>
          <w:rFonts w:hint="eastAsia" w:ascii="宋体" w:hAnsi="宋体"/>
          <w:color w:val="auto"/>
        </w:rPr>
        <w:t>本行的经营宗旨：依据国家法律、行政法规和规章，以服务“三农”和县域经济为经营方向，致力为当地企事业单位、居民以及农民、农业和农村经济建设及发展等提供丰富优质的金融产品和金融服务。</w:t>
      </w:r>
    </w:p>
    <w:p>
      <w:pPr>
        <w:ind w:firstLine="480" w:firstLineChars="200"/>
        <w:rPr>
          <w:rFonts w:hint="eastAsia" w:ascii="宋体" w:hAnsi="宋体"/>
          <w:color w:val="auto"/>
        </w:rPr>
      </w:pPr>
      <w:r>
        <w:rPr>
          <w:rFonts w:hint="eastAsia" w:ascii="宋体" w:hAnsi="宋体"/>
          <w:color w:val="auto"/>
        </w:rPr>
        <w:t>本行为客户提供金融产品和金融服务，依照有关法律、法规履行义务，保护消费者的合法权益。</w:t>
      </w:r>
    </w:p>
    <w:p>
      <w:pPr>
        <w:numPr>
          <w:ilvl w:val="0"/>
          <w:numId w:val="3"/>
        </w:numPr>
        <w:ind w:left="0" w:firstLine="426"/>
        <w:rPr>
          <w:rFonts w:ascii="宋体" w:hAnsi="宋体"/>
          <w:color w:val="auto"/>
        </w:rPr>
      </w:pPr>
      <w:r>
        <w:rPr>
          <w:rFonts w:hint="eastAsia" w:ascii="宋体" w:hAnsi="宋体"/>
          <w:color w:val="auto"/>
        </w:rPr>
        <w:t>本行以安全性、流动性和效益性为经营原则，实行独立核算，自主经营、自担风险、自负盈亏、自我约束。</w:t>
      </w:r>
    </w:p>
    <w:p>
      <w:pPr>
        <w:numPr>
          <w:ilvl w:val="0"/>
          <w:numId w:val="3"/>
        </w:numPr>
        <w:ind w:left="0" w:firstLine="426"/>
        <w:rPr>
          <w:rFonts w:ascii="宋体" w:hAnsi="宋体"/>
          <w:color w:val="auto"/>
        </w:rPr>
      </w:pPr>
      <w:r>
        <w:rPr>
          <w:rFonts w:hint="eastAsia" w:ascii="宋体" w:hAnsi="宋体"/>
          <w:color w:val="auto"/>
        </w:rPr>
        <w:t>本</w:t>
      </w:r>
      <w:r>
        <w:rPr>
          <w:rFonts w:ascii="宋体" w:hAnsi="宋体"/>
          <w:color w:val="auto"/>
        </w:rPr>
        <w:t>行发放贷款应首先充分满足县域内农户、农业和农村经济发展的需要。</w:t>
      </w:r>
      <w:r>
        <w:rPr>
          <w:rFonts w:hint="eastAsia" w:ascii="宋体" w:hAnsi="宋体"/>
          <w:color w:val="auto"/>
        </w:rPr>
        <w:t>在</w:t>
      </w:r>
      <w:r>
        <w:rPr>
          <w:rFonts w:ascii="宋体" w:hAnsi="宋体"/>
          <w:color w:val="auto"/>
        </w:rPr>
        <w:t>确已满足当地农村资金需求</w:t>
      </w:r>
      <w:r>
        <w:rPr>
          <w:rFonts w:hint="eastAsia" w:ascii="宋体" w:hAnsi="宋体"/>
          <w:color w:val="auto"/>
        </w:rPr>
        <w:t>后</w:t>
      </w:r>
      <w:r>
        <w:rPr>
          <w:rFonts w:ascii="宋体" w:hAnsi="宋体"/>
          <w:color w:val="auto"/>
        </w:rPr>
        <w:t>，</w:t>
      </w:r>
      <w:r>
        <w:rPr>
          <w:rFonts w:hint="eastAsia" w:ascii="宋体" w:hAnsi="宋体"/>
          <w:color w:val="auto"/>
        </w:rPr>
        <w:t>本行</w:t>
      </w:r>
      <w:r>
        <w:rPr>
          <w:rFonts w:ascii="宋体" w:hAnsi="宋体"/>
          <w:color w:val="auto"/>
        </w:rPr>
        <w:t>富余资金可投放当地其他产业、购买涉农债券或向其他金融机构融资。</w:t>
      </w:r>
    </w:p>
    <w:p>
      <w:pPr>
        <w:numPr>
          <w:ilvl w:val="0"/>
          <w:numId w:val="3"/>
        </w:numPr>
        <w:ind w:left="0" w:firstLine="426"/>
        <w:rPr>
          <w:rFonts w:ascii="宋体" w:hAnsi="宋体"/>
          <w:color w:val="auto"/>
        </w:rPr>
      </w:pPr>
      <w:r>
        <w:rPr>
          <w:rFonts w:hint="eastAsia" w:ascii="宋体" w:hAnsi="宋体"/>
          <w:color w:val="auto"/>
        </w:rPr>
        <w:t>本行实行一级法人、统一核算、分级管理、授权经营的管理体制。本行根据经营管理和业务发展需要设置内部职能部门和分支机构。各职能部门和分支机构根据授权实施管理和经营。</w:t>
      </w:r>
    </w:p>
    <w:p>
      <w:pPr>
        <w:numPr>
          <w:ilvl w:val="0"/>
          <w:numId w:val="3"/>
        </w:numPr>
        <w:ind w:left="0" w:firstLine="426"/>
        <w:rPr>
          <w:rFonts w:ascii="宋体" w:hAnsi="宋体"/>
          <w:color w:val="auto"/>
        </w:rPr>
      </w:pPr>
      <w:r>
        <w:rPr>
          <w:rFonts w:hint="eastAsia" w:ascii="宋体" w:hAnsi="宋体"/>
          <w:color w:val="auto"/>
        </w:rPr>
        <w:t>本行建立健全存款、贷款、结算等各项业务的内部管理和控制制度，建立薪酬与本行效益和个人业绩相联系的激励约束机制。</w:t>
      </w:r>
    </w:p>
    <w:p>
      <w:pPr>
        <w:numPr>
          <w:ilvl w:val="0"/>
          <w:numId w:val="3"/>
        </w:numPr>
        <w:ind w:left="0" w:firstLine="426"/>
        <w:rPr>
          <w:rFonts w:ascii="宋体" w:hAnsi="宋体"/>
          <w:color w:val="auto"/>
        </w:rPr>
      </w:pPr>
      <w:r>
        <w:rPr>
          <w:rFonts w:hint="eastAsia" w:ascii="宋体" w:hAnsi="宋体"/>
          <w:color w:val="auto"/>
        </w:rPr>
        <w:t>经银行业监督管理机构批准，并经注册登记，本行经营范围是：</w:t>
      </w:r>
    </w:p>
    <w:p>
      <w:pPr>
        <w:ind w:firstLine="480" w:firstLineChars="200"/>
        <w:rPr>
          <w:rFonts w:ascii="宋体" w:hAnsi="宋体"/>
          <w:color w:val="auto"/>
        </w:rPr>
      </w:pPr>
      <w:r>
        <w:rPr>
          <w:rFonts w:hint="eastAsia" w:ascii="宋体" w:hAnsi="宋体"/>
          <w:color w:val="auto"/>
        </w:rPr>
        <w:t>（一）吸收公众存款；</w:t>
      </w:r>
      <w:r>
        <w:rPr>
          <w:rFonts w:hint="eastAsia" w:ascii="宋体" w:hAnsi="宋体" w:cs="仿宋_GB2312"/>
          <w:color w:val="auto"/>
        </w:rPr>
        <w:t></w:t>
      </w:r>
    </w:p>
    <w:p>
      <w:pPr>
        <w:ind w:firstLine="480" w:firstLineChars="200"/>
        <w:rPr>
          <w:rFonts w:ascii="宋体" w:hAnsi="宋体"/>
          <w:color w:val="auto"/>
        </w:rPr>
      </w:pPr>
      <w:r>
        <w:rPr>
          <w:rFonts w:hint="eastAsia" w:ascii="宋体" w:hAnsi="宋体"/>
          <w:color w:val="auto"/>
        </w:rPr>
        <w:t>（二）发放短期、中期和长期贷款；</w:t>
      </w:r>
      <w:r>
        <w:rPr>
          <w:rFonts w:hint="eastAsia" w:ascii="宋体" w:hAnsi="宋体" w:cs="仿宋_GB2312"/>
          <w:color w:val="auto"/>
        </w:rPr>
        <w:t></w:t>
      </w:r>
    </w:p>
    <w:p>
      <w:pPr>
        <w:ind w:firstLine="480" w:firstLineChars="200"/>
        <w:rPr>
          <w:rFonts w:ascii="宋体" w:hAnsi="宋体"/>
          <w:color w:val="auto"/>
        </w:rPr>
      </w:pPr>
      <w:r>
        <w:rPr>
          <w:rFonts w:hint="eastAsia" w:ascii="宋体" w:hAnsi="宋体"/>
          <w:color w:val="auto"/>
        </w:rPr>
        <w:t>（三）办理国内结算；</w:t>
      </w:r>
      <w:r>
        <w:rPr>
          <w:rFonts w:hint="eastAsia" w:ascii="宋体" w:hAnsi="宋体" w:cs="仿宋_GB2312"/>
          <w:color w:val="auto"/>
        </w:rPr>
        <w:t></w:t>
      </w:r>
    </w:p>
    <w:p>
      <w:pPr>
        <w:ind w:firstLine="480" w:firstLineChars="200"/>
        <w:rPr>
          <w:rFonts w:hint="eastAsia" w:ascii="宋体" w:hAnsi="宋体"/>
          <w:color w:val="auto"/>
        </w:rPr>
      </w:pPr>
      <w:r>
        <w:rPr>
          <w:rFonts w:hint="eastAsia" w:ascii="宋体" w:hAnsi="宋体"/>
          <w:color w:val="auto"/>
        </w:rPr>
        <w:t>（四）办理票据承兑与贴现；</w:t>
      </w:r>
      <w:r>
        <w:rPr>
          <w:rFonts w:hint="eastAsia" w:ascii="宋体" w:hAnsi="宋体" w:cs="仿宋_GB2312"/>
          <w:color w:val="auto"/>
        </w:rPr>
        <w:t></w:t>
      </w:r>
    </w:p>
    <w:p>
      <w:pPr>
        <w:ind w:firstLine="480" w:firstLineChars="200"/>
        <w:rPr>
          <w:rFonts w:ascii="宋体" w:hAnsi="宋体"/>
          <w:color w:val="auto"/>
        </w:rPr>
      </w:pPr>
      <w:r>
        <w:rPr>
          <w:rFonts w:hint="eastAsia" w:ascii="宋体" w:hAnsi="宋体"/>
          <w:color w:val="auto"/>
        </w:rPr>
        <w:t>（五）从事同业拆借；</w:t>
      </w:r>
      <w:r>
        <w:rPr>
          <w:rFonts w:hint="eastAsia" w:ascii="宋体" w:hAnsi="宋体" w:cs="仿宋_GB2312"/>
          <w:color w:val="auto"/>
        </w:rPr>
        <w:t></w:t>
      </w:r>
    </w:p>
    <w:p>
      <w:pPr>
        <w:ind w:firstLine="480" w:firstLineChars="200"/>
        <w:rPr>
          <w:rFonts w:ascii="宋体" w:hAnsi="宋体"/>
          <w:color w:val="auto"/>
        </w:rPr>
      </w:pPr>
      <w:r>
        <w:rPr>
          <w:rFonts w:hint="eastAsia" w:ascii="宋体" w:hAnsi="宋体"/>
          <w:color w:val="auto"/>
        </w:rPr>
        <w:t>（六）从事银行卡业务；</w:t>
      </w:r>
      <w:r>
        <w:rPr>
          <w:rFonts w:hint="eastAsia" w:ascii="宋体" w:hAnsi="宋体" w:cs="仿宋_GB2312"/>
          <w:color w:val="auto"/>
        </w:rPr>
        <w:t></w:t>
      </w:r>
      <w:r>
        <w:rPr>
          <w:rFonts w:hint="eastAsia" w:ascii="宋体" w:hAnsi="宋体"/>
          <w:color w:val="auto"/>
        </w:rPr>
        <w:tab/>
      </w:r>
    </w:p>
    <w:p>
      <w:pPr>
        <w:ind w:firstLine="480" w:firstLineChars="200"/>
        <w:rPr>
          <w:rFonts w:ascii="宋体" w:hAnsi="宋体"/>
          <w:color w:val="auto"/>
        </w:rPr>
      </w:pPr>
      <w:r>
        <w:rPr>
          <w:rFonts w:hint="eastAsia" w:ascii="宋体" w:hAnsi="宋体"/>
          <w:color w:val="auto"/>
        </w:rPr>
        <w:t>（七）代理发行、代理兑付、承销政府债券；</w:t>
      </w:r>
      <w:r>
        <w:rPr>
          <w:rFonts w:hint="eastAsia" w:ascii="宋体" w:hAnsi="宋体" w:cs="仿宋_GB2312"/>
          <w:color w:val="auto"/>
        </w:rPr>
        <w:t></w:t>
      </w:r>
    </w:p>
    <w:p>
      <w:pPr>
        <w:ind w:firstLine="480" w:firstLineChars="200"/>
        <w:rPr>
          <w:rFonts w:ascii="宋体" w:hAnsi="宋体"/>
          <w:color w:val="auto"/>
        </w:rPr>
      </w:pPr>
      <w:r>
        <w:rPr>
          <w:rFonts w:hint="eastAsia" w:ascii="宋体" w:hAnsi="宋体"/>
          <w:color w:val="auto"/>
        </w:rPr>
        <w:t>（八）代理收付款项及代理保险业务；</w:t>
      </w:r>
      <w:r>
        <w:rPr>
          <w:rFonts w:hint="eastAsia" w:ascii="宋体" w:hAnsi="宋体" w:cs="仿宋_GB2312"/>
          <w:color w:val="auto"/>
        </w:rPr>
        <w:t></w:t>
      </w:r>
    </w:p>
    <w:p>
      <w:pPr>
        <w:ind w:firstLine="480" w:firstLineChars="200"/>
        <w:rPr>
          <w:rFonts w:ascii="宋体" w:hAnsi="宋体"/>
          <w:color w:val="auto"/>
        </w:rPr>
      </w:pPr>
      <w:r>
        <w:rPr>
          <w:rFonts w:hint="eastAsia" w:ascii="宋体" w:hAnsi="宋体"/>
          <w:color w:val="auto"/>
        </w:rPr>
        <w:t>（九）经银行业监督管理机构批准的其他业务。</w:t>
      </w:r>
    </w:p>
    <w:p>
      <w:pPr>
        <w:ind w:firstLine="480" w:firstLineChars="200"/>
        <w:rPr>
          <w:rFonts w:ascii="宋体" w:hAnsi="宋体" w:cs="宋体"/>
          <w:color w:val="auto"/>
        </w:rPr>
      </w:pPr>
      <w:r>
        <w:rPr>
          <w:rFonts w:hint="eastAsia" w:ascii="宋体" w:hAnsi="宋体" w:cs="宋体"/>
          <w:color w:val="auto"/>
        </w:rPr>
        <w:t>本行的经营范围具体以相关</w:t>
      </w:r>
      <w:r>
        <w:rPr>
          <w:rFonts w:hint="eastAsia" w:ascii="宋体" w:hAnsi="宋体" w:cs="宋体"/>
          <w:bCs/>
          <w:color w:val="auto"/>
        </w:rPr>
        <w:t>审批机构</w:t>
      </w:r>
      <w:r>
        <w:rPr>
          <w:rFonts w:hint="eastAsia" w:ascii="宋体" w:hAnsi="宋体" w:cs="宋体"/>
          <w:color w:val="auto"/>
        </w:rPr>
        <w:t>最终核准的为准。</w:t>
      </w:r>
    </w:p>
    <w:p>
      <w:pPr>
        <w:numPr>
          <w:ilvl w:val="0"/>
          <w:numId w:val="3"/>
        </w:numPr>
        <w:ind w:left="0" w:firstLine="426"/>
        <w:rPr>
          <w:rFonts w:ascii="宋体" w:hAnsi="宋体"/>
          <w:color w:val="auto"/>
        </w:rPr>
      </w:pPr>
      <w:r>
        <w:rPr>
          <w:rFonts w:hint="eastAsia" w:ascii="宋体" w:hAnsi="宋体"/>
          <w:color w:val="auto"/>
        </w:rPr>
        <w:t>本行的经营期限为永久。</w:t>
      </w:r>
    </w:p>
    <w:p>
      <w:pPr>
        <w:ind w:firstLine="480" w:firstLineChars="200"/>
        <w:rPr>
          <w:rFonts w:ascii="宋体" w:hAnsi="宋体"/>
          <w:color w:val="auto"/>
          <w:lang w:val="en-AU"/>
        </w:rPr>
      </w:pPr>
      <w:r>
        <w:rPr>
          <w:rFonts w:hint="eastAsia" w:ascii="宋体" w:hAnsi="宋体"/>
          <w:color w:val="auto"/>
          <w:lang w:val="en-AU"/>
        </w:rPr>
        <w:t>变更</w:t>
      </w:r>
      <w:r>
        <w:rPr>
          <w:rFonts w:hint="eastAsia" w:ascii="宋体" w:hAnsi="宋体"/>
          <w:bCs/>
          <w:color w:val="auto"/>
          <w:lang w:val="en-AU"/>
        </w:rPr>
        <w:t>经营期限</w:t>
      </w:r>
      <w:r>
        <w:rPr>
          <w:rFonts w:hint="eastAsia" w:ascii="宋体" w:hAnsi="宋体"/>
          <w:color w:val="auto"/>
          <w:lang w:val="en-AU"/>
        </w:rPr>
        <w:t>应经股东同意，并向</w:t>
      </w:r>
      <w:r>
        <w:rPr>
          <w:rFonts w:hint="eastAsia" w:ascii="宋体" w:hAnsi="宋体"/>
          <w:bCs/>
          <w:color w:val="auto"/>
          <w:lang w:val="en-AU"/>
        </w:rPr>
        <w:t>审批机构</w:t>
      </w:r>
      <w:r>
        <w:rPr>
          <w:rFonts w:hint="eastAsia" w:ascii="宋体" w:hAnsi="宋体"/>
          <w:color w:val="auto"/>
          <w:lang w:val="en-AU"/>
        </w:rPr>
        <w:t>申请批准。</w:t>
      </w:r>
      <w:r>
        <w:rPr>
          <w:rFonts w:hint="eastAsia" w:ascii="宋体" w:hAnsi="宋体"/>
          <w:bCs/>
          <w:color w:val="auto"/>
          <w:lang w:val="en-AU"/>
        </w:rPr>
        <w:t>经营期限</w:t>
      </w:r>
      <w:r>
        <w:rPr>
          <w:rFonts w:hint="eastAsia" w:ascii="宋体" w:hAnsi="宋体"/>
          <w:color w:val="auto"/>
          <w:lang w:val="en-AU"/>
        </w:rPr>
        <w:t>的变更只有经</w:t>
      </w:r>
      <w:r>
        <w:rPr>
          <w:rFonts w:hint="eastAsia" w:ascii="宋体" w:hAnsi="宋体"/>
          <w:bCs/>
          <w:color w:val="auto"/>
          <w:lang w:val="en-AU"/>
        </w:rPr>
        <w:t>审批机构</w:t>
      </w:r>
      <w:r>
        <w:rPr>
          <w:rFonts w:hint="eastAsia" w:ascii="宋体" w:hAnsi="宋体"/>
          <w:color w:val="auto"/>
          <w:lang w:val="en-AU"/>
        </w:rPr>
        <w:t>批准后才能生效。</w:t>
      </w:r>
    </w:p>
    <w:p>
      <w:pPr>
        <w:ind w:firstLine="480" w:firstLineChars="200"/>
        <w:rPr>
          <w:rFonts w:ascii="宋体" w:hAnsi="宋体"/>
          <w:color w:val="auto"/>
          <w:lang w:val="en-AU"/>
        </w:rPr>
      </w:pPr>
    </w:p>
    <w:p>
      <w:pPr>
        <w:jc w:val="center"/>
        <w:rPr>
          <w:rFonts w:ascii="宋体" w:hAnsi="宋体"/>
          <w:b/>
          <w:color w:val="auto"/>
        </w:rPr>
      </w:pPr>
      <w:r>
        <w:rPr>
          <w:rFonts w:hint="eastAsia" w:ascii="宋体" w:hAnsi="宋体"/>
          <w:b/>
          <w:color w:val="auto"/>
        </w:rPr>
        <w:t>第三章 注册资本</w:t>
      </w:r>
    </w:p>
    <w:p>
      <w:pPr>
        <w:jc w:val="center"/>
        <w:rPr>
          <w:rFonts w:ascii="宋体" w:hAnsi="宋体"/>
          <w:b/>
          <w:color w:val="auto"/>
        </w:rPr>
      </w:pPr>
    </w:p>
    <w:p>
      <w:pPr>
        <w:numPr>
          <w:ilvl w:val="0"/>
          <w:numId w:val="3"/>
        </w:numPr>
        <w:ind w:left="0" w:firstLine="426"/>
        <w:rPr>
          <w:rFonts w:ascii="宋体" w:hAnsi="宋体"/>
          <w:color w:val="auto"/>
        </w:rPr>
      </w:pPr>
      <w:r>
        <w:rPr>
          <w:rFonts w:hint="eastAsia" w:ascii="宋体" w:hAnsi="宋体"/>
          <w:color w:val="auto"/>
        </w:rPr>
        <w:t>本行股东认缴的出资额</w:t>
      </w:r>
      <w:r>
        <w:rPr>
          <w:rFonts w:ascii="宋体" w:hAnsi="宋体"/>
          <w:color w:val="auto"/>
        </w:rPr>
        <w:t>比例如下表所示：</w:t>
      </w:r>
    </w:p>
    <w:tbl>
      <w:tblPr>
        <w:tblStyle w:val="44"/>
        <w:tblW w:w="89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276"/>
        <w:gridCol w:w="1701"/>
        <w:gridCol w:w="1985"/>
        <w:gridCol w:w="1275"/>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blHeader/>
          <w:jc w:val="center"/>
        </w:trPr>
        <w:tc>
          <w:tcPr>
            <w:tcW w:w="3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Times New Roman"/>
                <w:b/>
                <w:bCs/>
                <w:color w:val="auto"/>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Times New Roman"/>
                <w:b/>
                <w:bCs/>
                <w:color w:val="auto"/>
              </w:rPr>
            </w:pPr>
            <w:r>
              <w:rPr>
                <w:rFonts w:hint="eastAsia" w:ascii="宋体" w:hAnsi="宋体" w:cs="Times New Roman"/>
                <w:b/>
                <w:bCs/>
                <w:color w:val="auto"/>
              </w:rPr>
              <w:t>股东</w:t>
            </w:r>
          </w:p>
        </w:tc>
        <w:tc>
          <w:tcPr>
            <w:tcW w:w="170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Times New Roman"/>
                <w:b/>
                <w:bCs/>
                <w:color w:val="auto"/>
              </w:rPr>
            </w:pPr>
            <w:r>
              <w:rPr>
                <w:rFonts w:hint="eastAsia" w:ascii="宋体" w:hAnsi="宋体" w:cs="Times New Roman"/>
                <w:b/>
                <w:bCs/>
                <w:color w:val="auto"/>
              </w:rPr>
              <w:t>出资方式</w:t>
            </w:r>
          </w:p>
        </w:tc>
        <w:tc>
          <w:tcPr>
            <w:tcW w:w="1985"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cs="Times New Roman"/>
                <w:b/>
                <w:bCs/>
                <w:color w:val="auto"/>
              </w:rPr>
            </w:pPr>
            <w:r>
              <w:rPr>
                <w:rFonts w:hint="eastAsia" w:ascii="宋体" w:hAnsi="宋体" w:cs="Times New Roman"/>
                <w:b/>
                <w:bCs/>
                <w:color w:val="auto"/>
              </w:rPr>
              <w:t>出资额</w:t>
            </w:r>
          </w:p>
        </w:tc>
        <w:tc>
          <w:tcPr>
            <w:tcW w:w="1275"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cs="Times New Roman"/>
                <w:b/>
                <w:bCs/>
                <w:color w:val="auto"/>
              </w:rPr>
            </w:pPr>
            <w:r>
              <w:rPr>
                <w:rFonts w:hint="eastAsia" w:ascii="宋体" w:hAnsi="宋体" w:cs="Times New Roman"/>
                <w:b/>
                <w:bCs/>
                <w:color w:val="auto"/>
              </w:rPr>
              <w:t>出资比例</w:t>
            </w:r>
          </w:p>
        </w:tc>
        <w:tc>
          <w:tcPr>
            <w:tcW w:w="23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cs="Times New Roman"/>
                <w:b/>
                <w:bCs/>
                <w:color w:val="auto"/>
              </w:rPr>
            </w:pPr>
            <w:r>
              <w:rPr>
                <w:rFonts w:hint="eastAsia" w:ascii="宋体" w:hAnsi="宋体" w:cs="Times New Roman"/>
                <w:b/>
                <w:bCs/>
                <w:color w:val="auto"/>
              </w:rPr>
              <w:t>出资时间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3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Times New Roman"/>
                <w:b/>
                <w:color w:val="auto"/>
              </w:rPr>
            </w:pPr>
            <w:r>
              <w:rPr>
                <w:rFonts w:hint="eastAsia" w:ascii="宋体" w:hAnsi="宋体" w:cs="Times New Roman"/>
                <w:b/>
                <w:color w:val="auto"/>
              </w:rPr>
              <w:t>1</w:t>
            </w: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Times New Roman"/>
                <w:color w:val="auto"/>
              </w:rPr>
            </w:pPr>
            <w:r>
              <w:rPr>
                <w:rFonts w:hint="eastAsia" w:ascii="宋体" w:hAnsi="宋体" w:cs="Times New Roman"/>
                <w:b w:val="0"/>
                <w:bCs/>
                <w:color w:val="auto"/>
              </w:rPr>
              <w:t>中银富登村镇银行股份有限公司</w:t>
            </w:r>
          </w:p>
        </w:tc>
        <w:tc>
          <w:tcPr>
            <w:tcW w:w="170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Times New Roman"/>
                <w:color w:val="auto"/>
              </w:rPr>
            </w:pPr>
            <w:r>
              <w:rPr>
                <w:rFonts w:hint="eastAsia" w:ascii="宋体" w:hAnsi="宋体" w:cs="Times New Roman"/>
                <w:color w:val="auto"/>
              </w:rPr>
              <w:t>人民币现金</w:t>
            </w:r>
          </w:p>
        </w:tc>
        <w:tc>
          <w:tcPr>
            <w:tcW w:w="1985"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cs="Times New Roman"/>
                <w:color w:val="auto"/>
              </w:rPr>
            </w:pPr>
            <w:r>
              <w:rPr>
                <w:rFonts w:hint="eastAsia" w:ascii="宋体" w:hAnsi="宋体" w:cs="Times New Roman"/>
                <w:color w:val="auto"/>
                <w:lang w:val="en-US" w:eastAsia="zh-CN"/>
              </w:rPr>
              <w:t>6000</w:t>
            </w:r>
            <w:r>
              <w:rPr>
                <w:rFonts w:hint="eastAsia" w:ascii="宋体" w:hAnsi="宋体" w:cs="Times New Roman"/>
                <w:color w:val="auto"/>
              </w:rPr>
              <w:t>万元人民币</w:t>
            </w:r>
          </w:p>
        </w:tc>
        <w:tc>
          <w:tcPr>
            <w:tcW w:w="1275"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cs="Times New Roman"/>
                <w:color w:val="auto"/>
              </w:rPr>
            </w:pPr>
            <w:r>
              <w:rPr>
                <w:rFonts w:hint="eastAsia" w:ascii="宋体" w:hAnsi="宋体" w:cs="Times New Roman"/>
                <w:color w:val="auto"/>
              </w:rPr>
              <w:t>100%</w:t>
            </w:r>
          </w:p>
        </w:tc>
        <w:tc>
          <w:tcPr>
            <w:tcW w:w="2348" w:type="dxa"/>
            <w:noWrap w:val="0"/>
            <w:vAlign w:val="top"/>
          </w:tcPr>
          <w:p>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lang w:val="en-US" w:eastAsia="zh-CN"/>
              </w:rPr>
            </w:pPr>
            <w:r>
              <w:rPr>
                <w:rFonts w:hint="eastAsia" w:ascii="宋体" w:hAnsi="宋体" w:cs="Times New Roman"/>
                <w:color w:val="auto"/>
              </w:rPr>
              <w:t>2015年11月24日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336" w:type="dxa"/>
            <w:gridSpan w:val="3"/>
            <w:noWrap w:val="0"/>
            <w:vAlign w:val="center"/>
          </w:tcPr>
          <w:p>
            <w:pPr>
              <w:keepNext w:val="0"/>
              <w:keepLines w:val="0"/>
              <w:widowControl/>
              <w:suppressLineNumbers w:val="0"/>
              <w:spacing w:before="0" w:beforeAutospacing="0" w:after="0" w:afterAutospacing="0"/>
              <w:ind w:left="0" w:right="0"/>
              <w:jc w:val="center"/>
              <w:rPr>
                <w:rFonts w:hint="eastAsia" w:ascii="宋体" w:hAnsi="宋体" w:cs="Times New Roman"/>
                <w:b/>
                <w:color w:val="auto"/>
              </w:rPr>
            </w:pPr>
            <w:r>
              <w:rPr>
                <w:rFonts w:hint="eastAsia" w:ascii="宋体" w:hAnsi="宋体" w:cs="Times New Roman"/>
                <w:b/>
                <w:color w:val="auto"/>
              </w:rPr>
              <w:t>合计</w:t>
            </w:r>
          </w:p>
        </w:tc>
        <w:tc>
          <w:tcPr>
            <w:tcW w:w="1985"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cs="Times New Roman"/>
                <w:color w:val="auto"/>
              </w:rPr>
            </w:pPr>
            <w:r>
              <w:rPr>
                <w:rFonts w:hint="eastAsia" w:ascii="宋体" w:hAnsi="宋体" w:cs="Times New Roman"/>
                <w:color w:val="auto"/>
                <w:lang w:val="en-US" w:eastAsia="zh-CN"/>
              </w:rPr>
              <w:t>6000</w:t>
            </w:r>
            <w:r>
              <w:rPr>
                <w:rFonts w:hint="eastAsia" w:ascii="宋体" w:hAnsi="宋体" w:cs="Times New Roman"/>
                <w:color w:val="auto"/>
              </w:rPr>
              <w:t>万元人民币</w:t>
            </w:r>
          </w:p>
        </w:tc>
        <w:tc>
          <w:tcPr>
            <w:tcW w:w="1275"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cs="Times New Roman"/>
                <w:color w:val="auto"/>
              </w:rPr>
            </w:pPr>
            <w:r>
              <w:rPr>
                <w:rFonts w:hint="eastAsia" w:ascii="宋体" w:hAnsi="宋体" w:cs="Times New Roman"/>
                <w:color w:val="auto"/>
              </w:rPr>
              <w:t>100%</w:t>
            </w:r>
          </w:p>
        </w:tc>
        <w:tc>
          <w:tcPr>
            <w:tcW w:w="23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cs="Times New Roman"/>
                <w:color w:val="auto"/>
              </w:rPr>
            </w:pPr>
            <w:r>
              <w:rPr>
                <w:rFonts w:hint="eastAsia" w:ascii="宋体" w:hAnsi="宋体" w:cs="Times New Roman"/>
                <w:color w:val="auto"/>
              </w:rPr>
              <w:t>—</w:t>
            </w:r>
          </w:p>
        </w:tc>
      </w:tr>
    </w:tbl>
    <w:p>
      <w:pPr>
        <w:numPr>
          <w:ilvl w:val="0"/>
          <w:numId w:val="3"/>
        </w:numPr>
        <w:ind w:left="0" w:firstLine="426"/>
        <w:rPr>
          <w:rFonts w:ascii="宋体" w:hAnsi="宋体"/>
          <w:color w:val="auto"/>
        </w:rPr>
      </w:pPr>
      <w:bookmarkStart w:id="3" w:name="_DV_M133"/>
      <w:bookmarkEnd w:id="3"/>
      <w:bookmarkStart w:id="4" w:name="_Toc250665150"/>
      <w:bookmarkEnd w:id="4"/>
      <w:bookmarkStart w:id="5" w:name="_DV_M132"/>
      <w:bookmarkEnd w:id="5"/>
      <w:bookmarkStart w:id="6" w:name="_DV_M131"/>
      <w:bookmarkEnd w:id="6"/>
      <w:r>
        <w:rPr>
          <w:rFonts w:hint="eastAsia" w:ascii="宋体" w:hAnsi="宋体"/>
          <w:color w:val="auto"/>
        </w:rPr>
        <w:t>股东对本行的出资应由一家中国注册会计师事务所进行验资，该会计师事务所应在股东缴足对本行的出资之日起1</w:t>
      </w:r>
      <w:r>
        <w:rPr>
          <w:rFonts w:ascii="宋体" w:hAnsi="宋体"/>
          <w:color w:val="auto"/>
        </w:rPr>
        <w:t>5个工作日内向</w:t>
      </w:r>
      <w:r>
        <w:rPr>
          <w:rFonts w:hint="eastAsia" w:ascii="宋体" w:hAnsi="宋体"/>
          <w:color w:val="auto"/>
        </w:rPr>
        <w:t>本行出具验资报告。本行</w:t>
      </w:r>
      <w:r>
        <w:rPr>
          <w:rFonts w:ascii="宋体" w:hAnsi="宋体"/>
          <w:color w:val="auto"/>
        </w:rPr>
        <w:t>应保存验资报告正本</w:t>
      </w:r>
      <w:r>
        <w:rPr>
          <w:rFonts w:hint="eastAsia" w:ascii="宋体" w:hAnsi="宋体"/>
          <w:color w:val="auto"/>
        </w:rPr>
        <w:t>。</w:t>
      </w:r>
    </w:p>
    <w:p>
      <w:pPr>
        <w:numPr>
          <w:ilvl w:val="0"/>
          <w:numId w:val="3"/>
        </w:numPr>
        <w:ind w:left="0" w:firstLine="426"/>
        <w:rPr>
          <w:rFonts w:ascii="宋体" w:hAnsi="宋体"/>
          <w:color w:val="auto"/>
        </w:rPr>
      </w:pPr>
      <w:bookmarkStart w:id="7" w:name="_DV_M134"/>
      <w:bookmarkEnd w:id="7"/>
      <w:bookmarkStart w:id="8" w:name="_DV_M135"/>
      <w:bookmarkEnd w:id="8"/>
      <w:bookmarkStart w:id="9" w:name="OLE_LINK8"/>
      <w:bookmarkStart w:id="10" w:name="OLE_LINK5"/>
      <w:r>
        <w:rPr>
          <w:rFonts w:hint="eastAsia" w:ascii="宋体" w:hAnsi="宋体"/>
          <w:bCs/>
          <w:color w:val="auto"/>
        </w:rPr>
        <w:t>本行</w:t>
      </w:r>
      <w:r>
        <w:rPr>
          <w:rFonts w:ascii="宋体" w:hAnsi="宋体"/>
          <w:color w:val="auto"/>
        </w:rPr>
        <w:t>成立后，应当向股东签发出资证明书</w:t>
      </w:r>
      <w:r>
        <w:rPr>
          <w:rFonts w:hint="eastAsia" w:ascii="宋体" w:hAnsi="宋体"/>
          <w:color w:val="auto"/>
        </w:rPr>
        <w:t>，</w:t>
      </w:r>
      <w:r>
        <w:rPr>
          <w:rFonts w:ascii="宋体" w:hAnsi="宋体"/>
          <w:color w:val="auto"/>
        </w:rPr>
        <w:t>应当载明下列事项：</w:t>
      </w:r>
    </w:p>
    <w:p>
      <w:pPr>
        <w:ind w:firstLine="480" w:firstLineChars="200"/>
        <w:rPr>
          <w:rFonts w:ascii="宋体" w:hAnsi="宋体"/>
          <w:color w:val="auto"/>
        </w:rPr>
      </w:pPr>
      <w:r>
        <w:rPr>
          <w:rFonts w:ascii="宋体" w:hAnsi="宋体"/>
          <w:color w:val="auto"/>
        </w:rPr>
        <w:t>（一）</w:t>
      </w:r>
      <w:r>
        <w:rPr>
          <w:rFonts w:hint="eastAsia" w:ascii="宋体" w:hAnsi="宋体"/>
          <w:color w:val="auto"/>
        </w:rPr>
        <w:t>本行</w:t>
      </w:r>
      <w:r>
        <w:rPr>
          <w:rFonts w:ascii="宋体" w:hAnsi="宋体"/>
          <w:color w:val="auto"/>
        </w:rPr>
        <w:t>名称</w:t>
      </w:r>
      <w:r>
        <w:rPr>
          <w:rFonts w:hint="eastAsia" w:ascii="宋体" w:hAnsi="宋体"/>
          <w:color w:val="auto"/>
        </w:rPr>
        <w:t>；</w:t>
      </w:r>
    </w:p>
    <w:p>
      <w:pPr>
        <w:ind w:firstLine="480" w:firstLineChars="200"/>
        <w:rPr>
          <w:rFonts w:ascii="宋体" w:hAnsi="宋体"/>
          <w:color w:val="auto"/>
        </w:rPr>
      </w:pPr>
      <w:r>
        <w:rPr>
          <w:rFonts w:ascii="宋体" w:hAnsi="宋体"/>
          <w:color w:val="auto"/>
        </w:rPr>
        <w:t>（二）</w:t>
      </w:r>
      <w:r>
        <w:rPr>
          <w:rFonts w:hint="eastAsia" w:ascii="宋体" w:hAnsi="宋体"/>
          <w:color w:val="auto"/>
        </w:rPr>
        <w:t>本行</w:t>
      </w:r>
      <w:r>
        <w:rPr>
          <w:rFonts w:ascii="宋体" w:hAnsi="宋体"/>
          <w:color w:val="auto"/>
        </w:rPr>
        <w:t>成立日期；</w:t>
      </w:r>
    </w:p>
    <w:p>
      <w:pPr>
        <w:ind w:firstLine="480" w:firstLineChars="200"/>
        <w:rPr>
          <w:rFonts w:ascii="宋体" w:hAnsi="宋体"/>
          <w:color w:val="auto"/>
        </w:rPr>
      </w:pPr>
      <w:r>
        <w:rPr>
          <w:rFonts w:ascii="宋体" w:hAnsi="宋体"/>
          <w:color w:val="auto"/>
        </w:rPr>
        <w:t>（三）</w:t>
      </w:r>
      <w:r>
        <w:rPr>
          <w:rFonts w:hint="eastAsia" w:ascii="宋体" w:hAnsi="宋体"/>
          <w:color w:val="auto"/>
        </w:rPr>
        <w:t>本行</w:t>
      </w:r>
      <w:r>
        <w:rPr>
          <w:rFonts w:ascii="宋体" w:hAnsi="宋体"/>
          <w:color w:val="auto"/>
        </w:rPr>
        <w:t>注册资本；</w:t>
      </w:r>
    </w:p>
    <w:p>
      <w:pPr>
        <w:ind w:firstLine="480" w:firstLineChars="200"/>
        <w:rPr>
          <w:rFonts w:ascii="宋体" w:hAnsi="宋体"/>
          <w:color w:val="auto"/>
        </w:rPr>
      </w:pPr>
      <w:r>
        <w:rPr>
          <w:rFonts w:ascii="宋体" w:hAnsi="宋体"/>
          <w:color w:val="auto"/>
        </w:rPr>
        <w:t>（四）股东的名称、缴纳的出资额和出资日期</w:t>
      </w:r>
      <w:r>
        <w:rPr>
          <w:rFonts w:hint="eastAsia" w:ascii="宋体" w:hAnsi="宋体"/>
          <w:color w:val="auto"/>
        </w:rPr>
        <w:t>；</w:t>
      </w:r>
    </w:p>
    <w:p>
      <w:pPr>
        <w:ind w:firstLine="480" w:firstLineChars="200"/>
        <w:rPr>
          <w:rFonts w:ascii="宋体" w:hAnsi="宋体"/>
          <w:color w:val="auto"/>
        </w:rPr>
      </w:pPr>
      <w:r>
        <w:rPr>
          <w:rFonts w:ascii="宋体" w:hAnsi="宋体"/>
          <w:color w:val="auto"/>
        </w:rPr>
        <w:t>（五）出资证明书的编号和核发日期。</w:t>
      </w:r>
    </w:p>
    <w:p>
      <w:pPr>
        <w:ind w:firstLine="480" w:firstLineChars="200"/>
        <w:rPr>
          <w:rFonts w:ascii="宋体" w:hAnsi="宋体"/>
          <w:color w:val="auto"/>
        </w:rPr>
      </w:pPr>
      <w:r>
        <w:rPr>
          <w:rFonts w:ascii="宋体" w:hAnsi="宋体"/>
          <w:color w:val="auto"/>
        </w:rPr>
        <w:t>出资证明书由</w:t>
      </w:r>
      <w:r>
        <w:rPr>
          <w:rFonts w:hint="eastAsia" w:ascii="宋体" w:hAnsi="宋体"/>
          <w:color w:val="auto"/>
        </w:rPr>
        <w:t>本行</w:t>
      </w:r>
      <w:r>
        <w:rPr>
          <w:rFonts w:ascii="宋体" w:hAnsi="宋体"/>
          <w:color w:val="auto"/>
        </w:rPr>
        <w:t>盖章</w:t>
      </w:r>
      <w:r>
        <w:rPr>
          <w:rFonts w:hint="eastAsia" w:ascii="宋体" w:hAnsi="宋体"/>
          <w:color w:val="auto"/>
        </w:rPr>
        <w:t>。本行应保存</w:t>
      </w:r>
      <w:r>
        <w:rPr>
          <w:rFonts w:ascii="宋体" w:hAnsi="宋体"/>
          <w:color w:val="auto"/>
        </w:rPr>
        <w:t>已出具的出资证明书的复印件。</w:t>
      </w:r>
    </w:p>
    <w:p>
      <w:pPr>
        <w:numPr>
          <w:ilvl w:val="0"/>
          <w:numId w:val="3"/>
        </w:numPr>
        <w:ind w:left="0" w:firstLine="426"/>
        <w:rPr>
          <w:rFonts w:ascii="宋体" w:hAnsi="宋体"/>
          <w:color w:val="auto"/>
        </w:rPr>
      </w:pPr>
      <w:r>
        <w:rPr>
          <w:rFonts w:hint="eastAsia" w:ascii="宋体" w:hAnsi="宋体"/>
          <w:color w:val="auto"/>
        </w:rPr>
        <w:t>本行根据法定验资机构出具的验资证明建立股东名册，股东名册记载下列事项：</w:t>
      </w:r>
    </w:p>
    <w:p>
      <w:pPr>
        <w:ind w:firstLine="480" w:firstLineChars="200"/>
        <w:rPr>
          <w:rFonts w:ascii="宋体" w:hAnsi="宋体"/>
          <w:color w:val="auto"/>
        </w:rPr>
      </w:pPr>
      <w:r>
        <w:rPr>
          <w:rFonts w:ascii="宋体" w:hAnsi="宋体"/>
          <w:color w:val="auto"/>
        </w:rPr>
        <w:t>（一）股东的名称</w:t>
      </w:r>
      <w:r>
        <w:rPr>
          <w:rFonts w:hint="eastAsia" w:ascii="宋体" w:hAnsi="宋体"/>
          <w:color w:val="auto"/>
        </w:rPr>
        <w:t>、</w:t>
      </w:r>
      <w:r>
        <w:rPr>
          <w:rFonts w:ascii="宋体" w:hAnsi="宋体"/>
          <w:color w:val="auto"/>
        </w:rPr>
        <w:t>住所</w:t>
      </w:r>
      <w:r>
        <w:rPr>
          <w:rFonts w:hint="eastAsia" w:ascii="宋体" w:hAnsi="宋体"/>
          <w:color w:val="auto"/>
        </w:rPr>
        <w:t>、法人股东法人代码、法定代表人姓名；</w:t>
      </w:r>
    </w:p>
    <w:p>
      <w:pPr>
        <w:ind w:firstLine="480" w:firstLineChars="200"/>
        <w:rPr>
          <w:rFonts w:ascii="宋体" w:hAnsi="宋体"/>
          <w:color w:val="auto"/>
        </w:rPr>
      </w:pPr>
      <w:r>
        <w:rPr>
          <w:rFonts w:ascii="宋体" w:hAnsi="宋体"/>
          <w:color w:val="auto"/>
        </w:rPr>
        <w:t>（二）股东的出资额；</w:t>
      </w:r>
    </w:p>
    <w:p>
      <w:pPr>
        <w:ind w:firstLine="480" w:firstLineChars="200"/>
        <w:rPr>
          <w:rFonts w:ascii="宋体" w:hAnsi="宋体"/>
          <w:color w:val="auto"/>
        </w:rPr>
      </w:pPr>
      <w:r>
        <w:rPr>
          <w:rFonts w:ascii="宋体" w:hAnsi="宋体"/>
          <w:color w:val="auto"/>
        </w:rPr>
        <w:t>（三）出资证明书编号。</w:t>
      </w:r>
    </w:p>
    <w:p>
      <w:pPr>
        <w:ind w:firstLine="480" w:firstLineChars="200"/>
        <w:rPr>
          <w:rFonts w:ascii="宋体" w:hAnsi="宋体"/>
          <w:color w:val="auto"/>
        </w:rPr>
      </w:pPr>
      <w:r>
        <w:rPr>
          <w:rFonts w:ascii="宋体" w:hAnsi="宋体"/>
          <w:color w:val="auto"/>
        </w:rPr>
        <w:t>记载于股东名册的股东，可以依股东名册主张行使股东权利。</w:t>
      </w:r>
    </w:p>
    <w:bookmarkEnd w:id="9"/>
    <w:bookmarkEnd w:id="10"/>
    <w:p>
      <w:pPr>
        <w:numPr>
          <w:ilvl w:val="0"/>
          <w:numId w:val="3"/>
        </w:numPr>
        <w:ind w:left="0" w:firstLine="426"/>
        <w:rPr>
          <w:rFonts w:ascii="宋体" w:hAnsi="宋体"/>
          <w:color w:val="auto"/>
        </w:rPr>
      </w:pPr>
      <w:bookmarkStart w:id="11" w:name="_Toc168237334"/>
      <w:bookmarkStart w:id="12" w:name="_Toc167979581"/>
      <w:bookmarkStart w:id="13" w:name="_Toc167917096"/>
      <w:bookmarkStart w:id="14" w:name="_Toc167893073"/>
      <w:bookmarkStart w:id="15" w:name="_Ref150155411"/>
      <w:bookmarkStart w:id="16" w:name="_Toc56582995"/>
      <w:r>
        <w:rPr>
          <w:rFonts w:hint="eastAsia" w:ascii="宋体" w:hAnsi="宋体"/>
          <w:color w:val="auto"/>
        </w:rPr>
        <w:t>本行</w:t>
      </w:r>
      <w:r>
        <w:rPr>
          <w:rFonts w:ascii="宋体" w:hAnsi="宋体"/>
          <w:color w:val="auto"/>
        </w:rPr>
        <w:t>需要减少注册资本时，必须编制资产负债表及财产清单。</w:t>
      </w:r>
    </w:p>
    <w:p>
      <w:pPr>
        <w:ind w:firstLine="480" w:firstLineChars="200"/>
        <w:rPr>
          <w:rFonts w:ascii="宋体" w:hAnsi="宋体"/>
          <w:color w:val="auto"/>
        </w:rPr>
      </w:pPr>
      <w:r>
        <w:rPr>
          <w:rFonts w:hint="eastAsia" w:ascii="宋体" w:hAnsi="宋体"/>
          <w:color w:val="auto"/>
        </w:rPr>
        <w:t>本行</w:t>
      </w:r>
      <w:r>
        <w:rPr>
          <w:rFonts w:ascii="宋体" w:hAnsi="宋体"/>
          <w:color w:val="auto"/>
        </w:rPr>
        <w:t>应当自作出减少注册资本决议之日起</w:t>
      </w:r>
      <w:r>
        <w:rPr>
          <w:rFonts w:hint="eastAsia" w:ascii="宋体" w:hAnsi="宋体"/>
          <w:color w:val="auto"/>
        </w:rPr>
        <w:t>10</w:t>
      </w:r>
      <w:r>
        <w:rPr>
          <w:rFonts w:ascii="宋体" w:hAnsi="宋体"/>
          <w:color w:val="auto"/>
        </w:rPr>
        <w:t>日内通知债权人，并于</w:t>
      </w:r>
      <w:r>
        <w:rPr>
          <w:rFonts w:hint="eastAsia" w:ascii="宋体" w:hAnsi="宋体"/>
          <w:color w:val="auto"/>
        </w:rPr>
        <w:t>30</w:t>
      </w:r>
      <w:r>
        <w:rPr>
          <w:rFonts w:ascii="宋体" w:hAnsi="宋体"/>
          <w:color w:val="auto"/>
        </w:rPr>
        <w:t>日内在报纸上公告。债权人自接到通知书之日起</w:t>
      </w:r>
      <w:r>
        <w:rPr>
          <w:rFonts w:hint="eastAsia" w:ascii="宋体" w:hAnsi="宋体"/>
          <w:color w:val="auto"/>
        </w:rPr>
        <w:t>30</w:t>
      </w:r>
      <w:r>
        <w:rPr>
          <w:rFonts w:ascii="宋体" w:hAnsi="宋体"/>
          <w:color w:val="auto"/>
        </w:rPr>
        <w:t>日内，未接到通知书的自公告之日起</w:t>
      </w:r>
      <w:r>
        <w:rPr>
          <w:rFonts w:hint="eastAsia" w:ascii="宋体" w:hAnsi="宋体"/>
          <w:color w:val="auto"/>
        </w:rPr>
        <w:t>45</w:t>
      </w:r>
      <w:r>
        <w:rPr>
          <w:rFonts w:ascii="宋体" w:hAnsi="宋体"/>
          <w:color w:val="auto"/>
        </w:rPr>
        <w:t>日内，有权要求</w:t>
      </w:r>
      <w:r>
        <w:rPr>
          <w:rFonts w:hint="eastAsia" w:ascii="宋体" w:hAnsi="宋体"/>
          <w:color w:val="auto"/>
        </w:rPr>
        <w:t>本行</w:t>
      </w:r>
      <w:r>
        <w:rPr>
          <w:rFonts w:ascii="宋体" w:hAnsi="宋体"/>
          <w:color w:val="auto"/>
        </w:rPr>
        <w:t>清偿债务或者提供相应的担保。</w:t>
      </w:r>
    </w:p>
    <w:p>
      <w:pPr>
        <w:ind w:firstLine="480" w:firstLineChars="200"/>
        <w:rPr>
          <w:rFonts w:ascii="宋体" w:hAnsi="宋体"/>
          <w:color w:val="auto"/>
        </w:rPr>
      </w:pPr>
      <w:r>
        <w:rPr>
          <w:rFonts w:hint="eastAsia" w:ascii="宋体" w:hAnsi="宋体"/>
          <w:color w:val="auto"/>
        </w:rPr>
        <w:t>本行</w:t>
      </w:r>
      <w:r>
        <w:rPr>
          <w:rFonts w:ascii="宋体" w:hAnsi="宋体"/>
          <w:color w:val="auto"/>
        </w:rPr>
        <w:t>减资后的注册资本不得低于法定的最低限额。</w:t>
      </w:r>
    </w:p>
    <w:p>
      <w:pPr>
        <w:numPr>
          <w:ilvl w:val="0"/>
          <w:numId w:val="3"/>
        </w:numPr>
        <w:ind w:left="0" w:firstLine="426"/>
        <w:rPr>
          <w:rFonts w:ascii="宋体" w:hAnsi="宋体"/>
          <w:color w:val="auto"/>
        </w:rPr>
      </w:pPr>
      <w:r>
        <w:rPr>
          <w:rFonts w:hint="eastAsia" w:ascii="宋体" w:hAnsi="宋体"/>
          <w:color w:val="auto"/>
        </w:rPr>
        <w:t>本行</w:t>
      </w:r>
      <w:r>
        <w:rPr>
          <w:rFonts w:ascii="宋体" w:hAnsi="宋体"/>
          <w:color w:val="auto"/>
        </w:rPr>
        <w:t>增加注册资本时，股东认缴新增资本的出资，依照</w:t>
      </w:r>
      <w:r>
        <w:rPr>
          <w:rFonts w:hint="eastAsia" w:ascii="宋体" w:hAnsi="宋体"/>
          <w:color w:val="auto"/>
        </w:rPr>
        <w:t>《公司法》以及其他有关规定和本章程规定的程序办理。</w:t>
      </w:r>
    </w:p>
    <w:p>
      <w:pPr>
        <w:numPr>
          <w:ilvl w:val="0"/>
          <w:numId w:val="3"/>
        </w:numPr>
        <w:ind w:left="0" w:firstLine="426"/>
        <w:rPr>
          <w:rFonts w:ascii="宋体" w:hAnsi="宋体"/>
          <w:color w:val="auto"/>
        </w:rPr>
      </w:pPr>
      <w:r>
        <w:rPr>
          <w:rFonts w:hint="eastAsia" w:ascii="宋体" w:hAnsi="宋体"/>
          <w:color w:val="auto"/>
        </w:rPr>
        <w:t>本行</w:t>
      </w:r>
      <w:r>
        <w:rPr>
          <w:rFonts w:ascii="宋体" w:hAnsi="宋体"/>
          <w:color w:val="auto"/>
        </w:rPr>
        <w:t>增加或者减少注册资本，应当依法向登记机关办理变更登记</w:t>
      </w:r>
      <w:r>
        <w:rPr>
          <w:rFonts w:hint="eastAsia" w:ascii="宋体" w:hAnsi="宋体"/>
          <w:color w:val="auto"/>
        </w:rPr>
        <w:t>。</w:t>
      </w:r>
    </w:p>
    <w:bookmarkEnd w:id="11"/>
    <w:bookmarkEnd w:id="12"/>
    <w:bookmarkEnd w:id="13"/>
    <w:bookmarkEnd w:id="14"/>
    <w:p>
      <w:pPr>
        <w:ind w:left="426"/>
        <w:rPr>
          <w:rFonts w:ascii="宋体" w:hAnsi="宋体"/>
          <w:color w:val="auto"/>
          <w:lang w:val="en-AU"/>
        </w:rPr>
      </w:pPr>
    </w:p>
    <w:bookmarkEnd w:id="15"/>
    <w:bookmarkEnd w:id="16"/>
    <w:p>
      <w:pPr>
        <w:jc w:val="center"/>
        <w:rPr>
          <w:rFonts w:ascii="宋体" w:hAnsi="宋体"/>
          <w:b/>
          <w:color w:val="auto"/>
        </w:rPr>
      </w:pPr>
      <w:r>
        <w:rPr>
          <w:rFonts w:hint="eastAsia" w:ascii="宋体" w:hAnsi="宋体"/>
          <w:b/>
          <w:color w:val="auto"/>
        </w:rPr>
        <w:t>第四章 股东</w:t>
      </w:r>
    </w:p>
    <w:p>
      <w:pPr>
        <w:jc w:val="center"/>
        <w:rPr>
          <w:rFonts w:ascii="宋体" w:hAnsi="宋体"/>
          <w:color w:val="auto"/>
        </w:rPr>
      </w:pPr>
    </w:p>
    <w:p>
      <w:pPr>
        <w:numPr>
          <w:ilvl w:val="0"/>
          <w:numId w:val="3"/>
        </w:numPr>
        <w:ind w:left="0" w:firstLine="426"/>
        <w:rPr>
          <w:rFonts w:ascii="宋体" w:hAnsi="宋体"/>
          <w:color w:val="auto"/>
          <w:lang w:val="en-AU"/>
        </w:rPr>
      </w:pPr>
      <w:r>
        <w:rPr>
          <w:rFonts w:hint="eastAsia" w:ascii="宋体" w:hAnsi="宋体"/>
          <w:color w:val="auto"/>
          <w:lang w:val="en-AU"/>
        </w:rPr>
        <w:t>股东按其出资额享有权利，承担义务。成为本行股东应当符合有关法律、行政法规及监管机构规定的成为村镇银行股东的各项条件。</w:t>
      </w:r>
    </w:p>
    <w:p>
      <w:pPr>
        <w:ind w:firstLine="480" w:firstLineChars="200"/>
        <w:rPr>
          <w:rFonts w:hint="eastAsia" w:ascii="宋体" w:hAnsi="宋体"/>
          <w:color w:val="auto"/>
        </w:rPr>
      </w:pPr>
      <w:r>
        <w:rPr>
          <w:rFonts w:hint="eastAsia" w:ascii="宋体" w:hAnsi="宋体"/>
          <w:color w:val="auto"/>
        </w:rPr>
        <w:t>股东应以书面形式对“不干预本行的日常经营事务，依据经营发展需要和属地监管机构要求，合理追加股本并承担风险处置责任，支持董事会制定本行恢复处置计划并履行必要的义务”等作出承诺。股东不得抽逃或虚假出资，不得通过非正常手段获取、代持或超持本行股权。持股5%以上的股东应对支持本行“支农支小”定位做出书面承诺。</w:t>
      </w:r>
    </w:p>
    <w:p>
      <w:pPr>
        <w:ind w:firstLine="480" w:firstLineChars="200"/>
        <w:rPr>
          <w:rFonts w:hint="eastAsia" w:ascii="宋体" w:hAnsi="宋体"/>
          <w:color w:val="auto"/>
        </w:rPr>
      </w:pPr>
      <w:r>
        <w:rPr>
          <w:rFonts w:hint="eastAsia"/>
          <w:color w:val="auto"/>
        </w:rPr>
        <w:t>本行的主要股东</w:t>
      </w:r>
      <w:r>
        <w:rPr>
          <w:color w:val="auto"/>
        </w:rPr>
        <w:t>自取得股权之日起</w:t>
      </w:r>
      <w:r>
        <w:rPr>
          <w:rFonts w:hint="eastAsia"/>
          <w:color w:val="auto"/>
        </w:rPr>
        <w:t>5</w:t>
      </w:r>
      <w:r>
        <w:rPr>
          <w:color w:val="auto"/>
        </w:rPr>
        <w:t>年内不得转让所持有的股权</w:t>
      </w:r>
      <w:r>
        <w:rPr>
          <w:rFonts w:hint="eastAsia"/>
          <w:color w:val="auto"/>
        </w:rPr>
        <w:t>，经银行业监督管理机构批准采取风险处置措施、银行业监督管理机构责令转让、涉及司法强制执行或者在同一投资人控制的不同主体之间转让股权等特殊情形除外，5年</w:t>
      </w:r>
      <w:r>
        <w:rPr>
          <w:color w:val="auto"/>
        </w:rPr>
        <w:t>后转让股权</w:t>
      </w:r>
      <w:r>
        <w:rPr>
          <w:rFonts w:hint="eastAsia"/>
          <w:color w:val="auto"/>
        </w:rPr>
        <w:t>的</w:t>
      </w:r>
      <w:r>
        <w:rPr>
          <w:color w:val="auto"/>
        </w:rPr>
        <w:t>应按照相关监管规定办理</w:t>
      </w:r>
      <w:r>
        <w:rPr>
          <w:rFonts w:hint="eastAsia"/>
          <w:color w:val="auto"/>
        </w:rPr>
        <w:t>。</w:t>
      </w:r>
      <w:r>
        <w:rPr>
          <w:rFonts w:hint="eastAsia" w:ascii="宋体" w:hAnsi="宋体"/>
          <w:color w:val="auto"/>
        </w:rPr>
        <w:t>本行董事、监事及高级管理人员在任职期间不得转让其所持有的本行股权。</w:t>
      </w:r>
    </w:p>
    <w:p>
      <w:pPr>
        <w:numPr>
          <w:ilvl w:val="0"/>
          <w:numId w:val="3"/>
        </w:numPr>
        <w:ind w:left="0" w:firstLine="426"/>
        <w:rPr>
          <w:rFonts w:hint="eastAsia" w:ascii="宋体" w:hAnsi="宋体"/>
          <w:color w:val="auto"/>
        </w:rPr>
      </w:pPr>
      <w:r>
        <w:rPr>
          <w:rFonts w:hint="eastAsia" w:ascii="宋体" w:hAnsi="宋体"/>
          <w:color w:val="auto"/>
        </w:rPr>
        <w:t>本行股东享有下列权利：</w:t>
      </w:r>
    </w:p>
    <w:p>
      <w:pPr>
        <w:ind w:firstLine="480" w:firstLineChars="200"/>
        <w:rPr>
          <w:rFonts w:hint="eastAsia" w:ascii="宋体" w:hAnsi="宋体"/>
          <w:color w:val="auto"/>
        </w:rPr>
      </w:pPr>
      <w:r>
        <w:rPr>
          <w:rFonts w:hint="eastAsia" w:ascii="宋体" w:hAnsi="宋体"/>
          <w:color w:val="auto"/>
        </w:rPr>
        <w:t>（一）依照其出资比例进行利益分配；</w:t>
      </w:r>
    </w:p>
    <w:p>
      <w:pPr>
        <w:ind w:firstLine="480" w:firstLineChars="200"/>
        <w:rPr>
          <w:rFonts w:hint="eastAsia" w:ascii="宋体" w:hAnsi="宋体"/>
          <w:color w:val="auto"/>
        </w:rPr>
      </w:pPr>
      <w:r>
        <w:rPr>
          <w:rFonts w:hint="eastAsia" w:ascii="宋体" w:hAnsi="宋体"/>
          <w:color w:val="auto"/>
        </w:rPr>
        <w:t>（二）依法依照其出资比例行使表决权；</w:t>
      </w:r>
    </w:p>
    <w:p>
      <w:pPr>
        <w:ind w:firstLine="480" w:firstLineChars="200"/>
        <w:rPr>
          <w:rFonts w:hint="eastAsia" w:ascii="宋体" w:hAnsi="宋体" w:eastAsia="宋体" w:cs="Times New Roman"/>
          <w:color w:val="auto"/>
        </w:rPr>
      </w:pPr>
      <w:r>
        <w:rPr>
          <w:rFonts w:hint="eastAsia" w:ascii="宋体" w:hAnsi="宋体" w:eastAsia="宋体" w:cs="Times New Roman"/>
          <w:color w:val="auto"/>
        </w:rPr>
        <w:t>（三）享有选举权和被选举权；</w:t>
      </w:r>
    </w:p>
    <w:p>
      <w:pPr>
        <w:ind w:firstLine="480" w:firstLineChars="200"/>
        <w:rPr>
          <w:rFonts w:hint="eastAsia" w:ascii="宋体" w:hAnsi="宋体"/>
          <w:color w:val="auto"/>
        </w:rPr>
      </w:pPr>
      <w:r>
        <w:rPr>
          <w:rFonts w:hint="eastAsia" w:ascii="宋体" w:hAnsi="宋体"/>
          <w:color w:val="auto"/>
        </w:rPr>
        <w:t>（四）对本行的经营进行监督，提出建议或者质询；</w:t>
      </w:r>
    </w:p>
    <w:p>
      <w:pPr>
        <w:ind w:firstLine="480" w:firstLineChars="200"/>
        <w:rPr>
          <w:rFonts w:hint="eastAsia" w:ascii="宋体" w:hAnsi="宋体"/>
          <w:color w:val="auto"/>
        </w:rPr>
      </w:pPr>
      <w:r>
        <w:rPr>
          <w:rFonts w:hint="eastAsia" w:ascii="宋体" w:hAnsi="宋体"/>
          <w:color w:val="auto"/>
        </w:rPr>
        <w:t>（五）依照法律、行政法规、监管规定及本章程的规定转让、赠与、质押其所持有的出资额；</w:t>
      </w:r>
    </w:p>
    <w:p>
      <w:pPr>
        <w:ind w:firstLine="480" w:firstLineChars="200"/>
        <w:rPr>
          <w:rFonts w:hint="eastAsia" w:ascii="宋体" w:hAnsi="宋体"/>
          <w:color w:val="auto"/>
        </w:rPr>
      </w:pPr>
      <w:r>
        <w:rPr>
          <w:rFonts w:hint="eastAsia" w:ascii="宋体" w:hAnsi="宋体"/>
          <w:color w:val="auto"/>
        </w:rPr>
        <w:t>（六）查阅本章程、股东名册、公司债券存根、股东决定</w:t>
      </w:r>
      <w:r>
        <w:rPr>
          <w:rFonts w:ascii="宋体" w:hAnsi="宋体"/>
          <w:color w:val="auto"/>
        </w:rPr>
        <w:t>、</w:t>
      </w:r>
      <w:r>
        <w:rPr>
          <w:rFonts w:hint="eastAsia" w:ascii="宋体" w:hAnsi="宋体"/>
          <w:color w:val="auto"/>
        </w:rPr>
        <w:t>董事会会议决议、监事会决议、财务会计报告；</w:t>
      </w:r>
    </w:p>
    <w:p>
      <w:pPr>
        <w:ind w:firstLine="480" w:firstLineChars="200"/>
        <w:rPr>
          <w:rFonts w:hint="eastAsia" w:ascii="宋体" w:hAnsi="宋体"/>
          <w:color w:val="auto"/>
        </w:rPr>
      </w:pPr>
      <w:r>
        <w:rPr>
          <w:rFonts w:hint="eastAsia" w:ascii="宋体" w:hAnsi="宋体"/>
          <w:color w:val="auto"/>
        </w:rPr>
        <w:t>（七）本行终止或者清算时，按其出资比例参加本行剩余财产的分配；</w:t>
      </w:r>
    </w:p>
    <w:p>
      <w:pPr>
        <w:ind w:firstLine="480" w:firstLineChars="200"/>
        <w:rPr>
          <w:rFonts w:hint="eastAsia" w:ascii="宋体" w:hAnsi="宋体"/>
          <w:color w:val="auto"/>
        </w:rPr>
      </w:pPr>
      <w:r>
        <w:rPr>
          <w:rFonts w:hint="eastAsia" w:ascii="宋体" w:hAnsi="宋体"/>
          <w:color w:val="auto"/>
        </w:rPr>
        <w:t>（八）法律、行政法规、监管规定及本章程所赋予的其他权利。</w:t>
      </w:r>
    </w:p>
    <w:p>
      <w:pPr>
        <w:numPr>
          <w:ilvl w:val="0"/>
          <w:numId w:val="3"/>
        </w:numPr>
        <w:ind w:left="0" w:firstLine="426"/>
        <w:rPr>
          <w:rFonts w:ascii="宋体" w:hAnsi="宋体"/>
          <w:color w:val="auto"/>
        </w:rPr>
      </w:pPr>
      <w:r>
        <w:rPr>
          <w:rFonts w:hint="eastAsia" w:ascii="宋体" w:hAnsi="宋体"/>
          <w:color w:val="auto"/>
        </w:rPr>
        <w:t>股东</w:t>
      </w:r>
      <w:r>
        <w:rPr>
          <w:rFonts w:ascii="宋体" w:hAnsi="宋体"/>
          <w:color w:val="auto"/>
        </w:rPr>
        <w:t>决定、</w:t>
      </w:r>
      <w:r>
        <w:rPr>
          <w:rFonts w:hint="eastAsia" w:ascii="宋体" w:hAnsi="宋体"/>
          <w:color w:val="auto"/>
        </w:rPr>
        <w:t>董事会的决议内容违反法律、行政法规的，股东有权请求人民法院认定无效。</w:t>
      </w:r>
    </w:p>
    <w:p>
      <w:pPr>
        <w:ind w:firstLine="480" w:firstLineChars="200"/>
        <w:rPr>
          <w:rFonts w:hint="eastAsia" w:ascii="宋体" w:hAnsi="宋体" w:eastAsia="宋体" w:cs="Times New Roman"/>
          <w:color w:val="auto"/>
        </w:rPr>
      </w:pPr>
      <w:r>
        <w:rPr>
          <w:rFonts w:hint="eastAsia" w:ascii="宋体" w:hAnsi="宋体" w:eastAsia="宋体" w:cs="Times New Roman"/>
          <w:color w:val="auto"/>
        </w:rPr>
        <w:t>董事会的召集程序、表决方式违反法律、行政法规或者本章程，或者董事会决议内容违反本章程的，股东有权自董事会决议作出之日起60日内，请求人民法院撤销。</w:t>
      </w:r>
    </w:p>
    <w:p>
      <w:pPr>
        <w:numPr>
          <w:ilvl w:val="0"/>
          <w:numId w:val="3"/>
        </w:numPr>
        <w:ind w:left="0" w:firstLine="426"/>
        <w:rPr>
          <w:rFonts w:hint="eastAsia" w:ascii="宋体" w:hAnsi="宋体"/>
          <w:color w:val="auto"/>
        </w:rPr>
      </w:pPr>
      <w:r>
        <w:rPr>
          <w:rFonts w:hint="eastAsia" w:ascii="宋体" w:hAnsi="宋体"/>
          <w:color w:val="auto"/>
        </w:rPr>
        <w:t>董事、高级管理人员执行本行职务时违反法律、行政法规或者本章程的规定，给本行造成损失的，本行股东有权书面请求监事会向人民法院提起诉讼；监事执行本行职务时违反法律、行政法规或者本章程的规定，给本行造成损失的，本行股东可以书面请求董事会向人民法院提起诉讼。</w:t>
      </w:r>
    </w:p>
    <w:p>
      <w:pPr>
        <w:ind w:firstLine="480" w:firstLineChars="200"/>
        <w:rPr>
          <w:rFonts w:hint="eastAsia" w:ascii="宋体" w:hAnsi="宋体"/>
          <w:color w:val="auto"/>
          <w:highlight w:val="none"/>
        </w:rPr>
      </w:pPr>
      <w:r>
        <w:rPr>
          <w:rFonts w:hint="eastAsia" w:ascii="宋体" w:hAnsi="宋体"/>
          <w:color w:val="auto"/>
        </w:rPr>
        <w:t>监事会或者董事会收到前款规定的股东书面请求后拒绝提起诉讼，或者自收到请求之日起30日内未提起</w:t>
      </w:r>
      <w:r>
        <w:rPr>
          <w:rFonts w:hint="eastAsia" w:ascii="宋体" w:hAnsi="宋体"/>
          <w:color w:val="auto"/>
          <w:highlight w:val="none"/>
        </w:rPr>
        <w:t>诉讼，或者情况紧急、不立即提起诉讼将会使本行利益受到难以弥补的损害的，前款规定的股东有权为了本行的利益以自己的名义直接向人民法院提起诉讼。</w:t>
      </w:r>
    </w:p>
    <w:p>
      <w:pPr>
        <w:ind w:firstLine="480" w:firstLineChars="200"/>
        <w:rPr>
          <w:rFonts w:hint="eastAsia" w:ascii="宋体" w:hAnsi="宋体"/>
          <w:color w:val="auto"/>
          <w:highlight w:val="none"/>
        </w:rPr>
      </w:pPr>
      <w:r>
        <w:rPr>
          <w:rFonts w:hint="eastAsia" w:ascii="宋体" w:hAnsi="宋体"/>
          <w:color w:val="auto"/>
          <w:highlight w:val="none"/>
        </w:rPr>
        <w:t>他人侵犯本行合法权益，给本行造成损失的，本行股东可以依照前两款的规定向人民法院提起诉讼。</w:t>
      </w:r>
    </w:p>
    <w:p>
      <w:pPr>
        <w:numPr>
          <w:ilvl w:val="0"/>
          <w:numId w:val="3"/>
        </w:numPr>
        <w:ind w:left="0" w:firstLine="426"/>
        <w:rPr>
          <w:rFonts w:ascii="宋体" w:hAnsi="宋体"/>
          <w:color w:val="auto"/>
          <w:highlight w:val="none"/>
        </w:rPr>
      </w:pPr>
      <w:r>
        <w:rPr>
          <w:rFonts w:hint="eastAsia" w:ascii="宋体" w:hAnsi="宋体"/>
          <w:color w:val="auto"/>
          <w:highlight w:val="none"/>
        </w:rPr>
        <w:t>本行股东承担下列义务：</w:t>
      </w:r>
    </w:p>
    <w:p>
      <w:pPr>
        <w:ind w:firstLine="480" w:firstLineChars="200"/>
        <w:rPr>
          <w:rFonts w:ascii="宋体" w:hAnsi="宋体"/>
          <w:color w:val="auto"/>
          <w:highlight w:val="none"/>
        </w:rPr>
      </w:pPr>
      <w:r>
        <w:rPr>
          <w:rFonts w:hint="eastAsia" w:ascii="宋体" w:hAnsi="宋体"/>
          <w:color w:val="auto"/>
          <w:highlight w:val="none"/>
        </w:rPr>
        <w:t>（一）遵守法律、行政法规、监管规定和本章程；</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Calibri"/>
          <w:color w:val="auto"/>
          <w:highlight w:val="none"/>
        </w:rPr>
      </w:pPr>
      <w:r>
        <w:rPr>
          <w:rFonts w:hint="eastAsia" w:ascii="宋体" w:hAnsi="宋体"/>
          <w:color w:val="auto"/>
          <w:highlight w:val="none"/>
        </w:rPr>
        <w:t>（二）依其出资方式缴纳出资，以其出资额</w:t>
      </w:r>
      <w:r>
        <w:rPr>
          <w:rFonts w:hint="eastAsia" w:ascii="宋体" w:hAnsi="宋体" w:eastAsia="宋体" w:cs="Calibri"/>
          <w:color w:val="auto"/>
          <w:highlight w:val="none"/>
        </w:rPr>
        <w:t>为限对本行债务承担责任，本行主要股东应以书面形式向本行作出资本补充的长期承诺；</w:t>
      </w:r>
    </w:p>
    <w:p>
      <w:pPr>
        <w:keepNext w:val="0"/>
        <w:keepLines w:val="0"/>
        <w:widowControl w:val="0"/>
        <w:suppressLineNumbers w:val="0"/>
        <w:spacing w:before="0" w:beforeAutospacing="0" w:after="0" w:afterAutospacing="0"/>
        <w:ind w:left="0" w:right="0" w:firstLine="480" w:firstLineChars="200"/>
        <w:jc w:val="both"/>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三</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使用来源合法的自有资金入股本行，不得以委托资金、债务资金等非自有资金入股，法律法规或者监管制度另有规定的除外；</w:t>
      </w:r>
      <w:r>
        <w:rPr>
          <w:rFonts w:hint="eastAsia" w:ascii="宋体" w:hAnsi="宋体" w:eastAsia="宋体" w:cs="Times New Roman"/>
          <w:color w:val="auto"/>
          <w:highlight w:val="none"/>
          <w:lang w:val="en-US" w:eastAsia="zh-CN"/>
        </w:rPr>
        <w:tab/>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Times New Roman"/>
          <w:color w:val="auto"/>
          <w:highlight w:val="none"/>
          <w:lang w:val="en-US" w:eastAsia="zh-CN"/>
        </w:rPr>
      </w:pPr>
      <w:r>
        <w:rPr>
          <w:rFonts w:hint="eastAsia" w:ascii="宋体" w:hAnsi="宋体"/>
          <w:color w:val="auto"/>
          <w:highlight w:val="none"/>
        </w:rPr>
        <w:t>（四）</w:t>
      </w:r>
      <w:r>
        <w:rPr>
          <w:rFonts w:hint="eastAsia" w:ascii="宋体" w:hAnsi="宋体" w:eastAsia="宋体" w:cs="Times New Roman"/>
          <w:color w:val="auto"/>
          <w:highlight w:val="none"/>
          <w:lang w:val="en-US" w:eastAsia="zh-CN"/>
        </w:rPr>
        <w:t>持股比例和持股机构数量符合监管规定，不得委托他人或者接受他人委托持有本行股权；</w:t>
      </w:r>
    </w:p>
    <w:p>
      <w:pPr>
        <w:keepNext w:val="0"/>
        <w:keepLines w:val="0"/>
        <w:widowControl w:val="0"/>
        <w:suppressLineNumbers w:val="0"/>
        <w:spacing w:before="0" w:beforeAutospacing="0" w:after="0" w:afterAutospacing="0"/>
        <w:ind w:left="0" w:right="0" w:firstLine="480" w:firstLineChars="200"/>
        <w:jc w:val="both"/>
        <w:rPr>
          <w:rFonts w:ascii="宋体" w:hAnsi="宋体"/>
          <w:color w:val="auto"/>
          <w:highlight w:val="none"/>
        </w:rPr>
      </w:pPr>
      <w:r>
        <w:rPr>
          <w:rStyle w:val="45"/>
          <w:rFonts w:ascii="宋体" w:hAnsi="宋体" w:eastAsia="宋体" w:cs="宋体"/>
          <w:color w:val="auto"/>
          <w:highlight w:val="none"/>
        </w:rPr>
        <w:t>（五）股东发生合并、分立，被采取责令停业整顿、指定托管、接管、撤销等措施，或者进入解散、清算、破产程序，或者其法定代表人、公司名称、经营场所、经营范围及其他重大事项发生变化的，应当按照法律法规及监管规定，及时将相关情况书面告知</w:t>
      </w:r>
      <w:r>
        <w:rPr>
          <w:rStyle w:val="45"/>
          <w:rFonts w:hint="eastAsia" w:ascii="宋体" w:hAnsi="宋体" w:eastAsia="宋体" w:cs="宋体"/>
          <w:color w:val="auto"/>
          <w:highlight w:val="none"/>
          <w:lang w:val="en-US" w:eastAsia="zh-CN"/>
        </w:rPr>
        <w:t>本行</w:t>
      </w:r>
      <w:r>
        <w:rPr>
          <w:rStyle w:val="45"/>
          <w:rFonts w:ascii="宋体" w:hAnsi="宋体" w:eastAsia="宋体" w:cs="宋体"/>
          <w:color w:val="auto"/>
          <w:highlight w:val="none"/>
        </w:rPr>
        <w:t>；</w:t>
      </w:r>
      <w:r>
        <w:rPr>
          <w:rStyle w:val="45"/>
          <w:rFonts w:ascii="宋体" w:hAnsi="宋体" w:eastAsia="宋体" w:cs="宋体"/>
          <w:color w:val="auto"/>
          <w:highlight w:val="none"/>
        </w:rPr>
        <w:br w:type="textWrapping"/>
      </w:r>
      <w:r>
        <w:rPr>
          <w:rStyle w:val="45"/>
          <w:rFonts w:ascii="宋体" w:hAnsi="宋体" w:eastAsia="宋体" w:cs="宋体"/>
          <w:color w:val="auto"/>
          <w:highlight w:val="none"/>
        </w:rPr>
        <w:t>　　（六）股东所持</w:t>
      </w:r>
      <w:r>
        <w:rPr>
          <w:rStyle w:val="45"/>
          <w:rFonts w:hint="eastAsia" w:ascii="宋体" w:hAnsi="宋体" w:eastAsia="宋体" w:cs="宋体"/>
          <w:color w:val="auto"/>
          <w:highlight w:val="none"/>
          <w:lang w:val="en-US" w:eastAsia="zh-CN"/>
        </w:rPr>
        <w:t>本行股权</w:t>
      </w:r>
      <w:r>
        <w:rPr>
          <w:rStyle w:val="45"/>
          <w:rFonts w:ascii="宋体" w:hAnsi="宋体" w:eastAsia="宋体" w:cs="宋体"/>
          <w:color w:val="auto"/>
          <w:highlight w:val="none"/>
        </w:rPr>
        <w:t>涉及诉讼、仲裁、被司法机关等采取法律强制措施、被质押或者解质押的，应当按照法律法规及监管规定，及时将相关情况书面告知</w:t>
      </w:r>
      <w:r>
        <w:rPr>
          <w:rStyle w:val="45"/>
          <w:rFonts w:hint="eastAsia" w:ascii="宋体" w:hAnsi="宋体" w:eastAsia="宋体" w:cs="宋体"/>
          <w:color w:val="auto"/>
          <w:highlight w:val="none"/>
          <w:lang w:val="en-US" w:eastAsia="zh-CN"/>
        </w:rPr>
        <w:t>本行</w:t>
      </w:r>
      <w:r>
        <w:rPr>
          <w:rStyle w:val="45"/>
          <w:rFonts w:ascii="宋体" w:hAnsi="宋体" w:eastAsia="宋体" w:cs="宋体"/>
          <w:color w:val="auto"/>
          <w:highlight w:val="none"/>
        </w:rPr>
        <w:t>；</w:t>
      </w:r>
      <w:r>
        <w:rPr>
          <w:rStyle w:val="45"/>
          <w:rFonts w:ascii="宋体" w:hAnsi="宋体" w:eastAsia="宋体" w:cs="宋体"/>
          <w:color w:val="auto"/>
          <w:highlight w:val="none"/>
        </w:rPr>
        <w:br w:type="textWrapping"/>
      </w:r>
      <w:r>
        <w:rPr>
          <w:rStyle w:val="45"/>
          <w:rFonts w:hint="eastAsia" w:ascii="宋体" w:hAnsi="宋体" w:eastAsia="宋体" w:cs="宋体"/>
          <w:color w:val="auto"/>
          <w:highlight w:val="none"/>
          <w:lang w:val="en-US" w:eastAsia="zh-CN"/>
        </w:rPr>
        <w:t xml:space="preserve">   </w:t>
      </w:r>
      <w:r>
        <w:rPr>
          <w:rFonts w:hint="eastAsia"/>
          <w:color w:val="auto"/>
          <w:highlight w:val="none"/>
          <w:lang w:val="en-US" w:eastAsia="zh-CN"/>
        </w:rPr>
        <w:t xml:space="preserve"> </w:t>
      </w:r>
      <w:r>
        <w:rPr>
          <w:rFonts w:hint="eastAsia" w:ascii="宋体" w:hAnsi="宋体"/>
          <w:color w:val="auto"/>
          <w:highlight w:val="none"/>
        </w:rPr>
        <w:t>（</w:t>
      </w:r>
      <w:r>
        <w:rPr>
          <w:rFonts w:hint="eastAsia" w:ascii="宋体" w:hAnsi="宋体"/>
          <w:color w:val="auto"/>
          <w:highlight w:val="none"/>
          <w:lang w:val="en-US" w:eastAsia="zh-CN"/>
        </w:rPr>
        <w:t>七</w:t>
      </w:r>
      <w:r>
        <w:rPr>
          <w:rFonts w:hint="eastAsia" w:ascii="宋体" w:hAnsi="宋体"/>
          <w:color w:val="auto"/>
          <w:highlight w:val="none"/>
        </w:rPr>
        <w:t>）除法律、行政法规规定的情形外，不得抽回出资；</w:t>
      </w:r>
    </w:p>
    <w:p>
      <w:pPr>
        <w:ind w:firstLine="48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八</w:t>
      </w:r>
      <w:r>
        <w:rPr>
          <w:rFonts w:hint="eastAsia" w:ascii="宋体" w:hAnsi="宋体"/>
          <w:color w:val="auto"/>
          <w:highlight w:val="none"/>
        </w:rPr>
        <w:t>）不得滥用股东权利损害本行的利益，否则应依法承担赔偿责任；不得滥用公司法人独立地位和股东有限责任损害本行债权人的利益，否则应对本行债务承担连带责任；</w:t>
      </w:r>
    </w:p>
    <w:p>
      <w:pPr>
        <w:ind w:firstLine="48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九</w:t>
      </w:r>
      <w:r>
        <w:rPr>
          <w:rFonts w:hint="eastAsia" w:ascii="宋体" w:hAnsi="宋体"/>
          <w:color w:val="auto"/>
          <w:highlight w:val="none"/>
        </w:rPr>
        <w:t>）及时、完整、真实地向本行董事会报告其关联企业情况及其参股其他商业银行的情况；</w:t>
      </w:r>
    </w:p>
    <w:p>
      <w:pPr>
        <w:ind w:firstLine="480" w:firstLineChars="200"/>
        <w:rPr>
          <w:rFonts w:hint="eastAsia" w:ascii="宋体" w:hAnsi="宋体" w:eastAsia="宋体" w:cs="Times New Roman"/>
          <w:color w:val="auto"/>
          <w:highlight w:val="none"/>
          <w:lang w:val="en-US"/>
        </w:rPr>
      </w:pPr>
      <w:r>
        <w:rPr>
          <w:rFonts w:hint="eastAsia" w:ascii="宋体" w:hAnsi="宋体" w:eastAsia="宋体" w:cs="Times New Roman"/>
          <w:color w:val="auto"/>
          <w:highlight w:val="none"/>
          <w:lang w:val="en-US" w:eastAsia="zh-CN"/>
        </w:rPr>
        <w:t>（十）按照法律法规及监管规定，如实向本行告知财务信息、股权结构、入股资金来源、控股股东、实际控制人、关联方、一致行动人、最终受益人、投资其他金融机构情况等信息；</w:t>
      </w:r>
    </w:p>
    <w:p>
      <w:pPr>
        <w:ind w:firstLine="48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（十一）股东的控股股东、实际控制人、关联方、一致行动人、最终受益人发生变化的，相关股东应当按照法律法规及监管规定，及时将变更情况书面告知本行；</w:t>
      </w:r>
    </w:p>
    <w:p>
      <w:pPr>
        <w:ind w:firstLine="48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十二</w:t>
      </w:r>
      <w:r>
        <w:rPr>
          <w:rFonts w:hint="eastAsia" w:ascii="宋体" w:hAnsi="宋体"/>
          <w:color w:val="auto"/>
          <w:highlight w:val="none"/>
        </w:rPr>
        <w:t>）维护本行利益和信誉，支持本行的合法经营；</w:t>
      </w:r>
    </w:p>
    <w:p>
      <w:pPr>
        <w:ind w:firstLine="480" w:firstLineChars="200"/>
        <w:rPr>
          <w:rFonts w:hint="eastAsia" w:ascii="宋体" w:hAnsi="宋体" w:eastAsia="宋体" w:cs="Times New Roman"/>
          <w:color w:val="auto"/>
          <w:highlight w:val="none"/>
          <w:lang w:val="en-US"/>
        </w:rPr>
      </w:pPr>
      <w:r>
        <w:rPr>
          <w:rFonts w:hint="eastAsia" w:ascii="宋体" w:hAnsi="宋体" w:eastAsia="宋体" w:cs="Times New Roman"/>
          <w:color w:val="auto"/>
          <w:highlight w:val="none"/>
          <w:lang w:val="en-US" w:eastAsia="zh-CN"/>
        </w:rPr>
        <w:t>（十三）股东转让、质押其持有的本行股权，或者与本行开展关联交易的，应当遵守法律法规及监管规定，不得损害其他股东和本行利益；</w:t>
      </w:r>
    </w:p>
    <w:p>
      <w:pPr>
        <w:ind w:firstLine="48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十四</w:t>
      </w:r>
      <w:r>
        <w:rPr>
          <w:rFonts w:hint="eastAsia" w:ascii="宋体" w:hAnsi="宋体"/>
          <w:color w:val="auto"/>
          <w:highlight w:val="none"/>
        </w:rPr>
        <w:t>）服从和履行股东决定；</w:t>
      </w:r>
    </w:p>
    <w:p>
      <w:pPr>
        <w:ind w:firstLine="48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十五</w:t>
      </w:r>
      <w:r>
        <w:rPr>
          <w:rFonts w:hint="eastAsia" w:ascii="宋体" w:hAnsi="宋体"/>
          <w:color w:val="auto"/>
          <w:highlight w:val="none"/>
        </w:rPr>
        <w:t>）本行法人股东如发生法定代表人、公司名称、注册地址、经营范围等重大事项变更，以及公司解散、被撤销或与其他公司合并、被其他公司兼并时，法人股东应提前30日书面通知本行；</w:t>
      </w:r>
    </w:p>
    <w:p>
      <w:pPr>
        <w:ind w:firstLine="48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十六</w:t>
      </w:r>
      <w:r>
        <w:rPr>
          <w:rFonts w:hint="eastAsia" w:ascii="宋体" w:hAnsi="宋体"/>
          <w:color w:val="auto"/>
          <w:highlight w:val="none"/>
        </w:rPr>
        <w:t>）应经但未经监管部门批准或未向监管部门报告的股东，不得行使股东会召开请求权、表决权、提名权、提案权、处分权等权利；</w:t>
      </w:r>
    </w:p>
    <w:p>
      <w:pPr>
        <w:ind w:firstLine="480" w:firstLineChars="200"/>
        <w:rPr>
          <w:rFonts w:hint="eastAsia" w:ascii="宋体" w:hAnsi="宋体"/>
          <w:color w:val="auto"/>
          <w:highlight w:val="none"/>
        </w:rPr>
      </w:pPr>
      <w:r>
        <w:rPr>
          <w:rFonts w:hint="eastAsia" w:ascii="宋体" w:hAnsi="宋体"/>
          <w:color w:val="auto"/>
          <w:highlight w:val="none"/>
        </w:rPr>
        <w:t>（十</w:t>
      </w:r>
      <w:r>
        <w:rPr>
          <w:rFonts w:hint="eastAsia" w:ascii="宋体" w:hAnsi="宋体"/>
          <w:color w:val="auto"/>
          <w:highlight w:val="none"/>
          <w:lang w:val="en-US" w:eastAsia="zh-CN"/>
        </w:rPr>
        <w:t>七</w:t>
      </w:r>
      <w:r>
        <w:rPr>
          <w:rFonts w:hint="eastAsia" w:ascii="宋体" w:hAnsi="宋体"/>
          <w:color w:val="auto"/>
          <w:highlight w:val="none"/>
        </w:rPr>
        <w:t>）对于存在虚假陈述、滥用股东权利或其他损害本行利益行为的股东，银行业监督管理机构或其派出机构可以限制或禁止本行与其开展关联交易，限制其持有本行股权的限额、股权质押比例等，并可限制其股东会召开请求权、表决权、提名权、提案权、处分权等权利；</w:t>
      </w:r>
    </w:p>
    <w:p>
      <w:pPr>
        <w:ind w:firstLine="480" w:firstLineChars="200"/>
        <w:rPr>
          <w:rFonts w:hint="eastAsia" w:ascii="宋体" w:hAnsi="宋体" w:eastAsia="宋体"/>
          <w:color w:val="auto"/>
          <w:highlight w:val="none"/>
          <w:lang w:eastAsia="zh-CN"/>
        </w:rPr>
      </w:pPr>
      <w:r>
        <w:rPr>
          <w:rFonts w:hint="eastAsia" w:ascii="宋体" w:hAnsi="宋体"/>
          <w:color w:val="auto"/>
          <w:highlight w:val="none"/>
        </w:rPr>
        <w:t>（十</w:t>
      </w:r>
      <w:r>
        <w:rPr>
          <w:rFonts w:hint="eastAsia" w:ascii="宋体" w:hAnsi="宋体"/>
          <w:color w:val="auto"/>
          <w:highlight w:val="none"/>
          <w:lang w:val="en-US" w:eastAsia="zh-CN"/>
        </w:rPr>
        <w:t>八</w:t>
      </w:r>
      <w:r>
        <w:rPr>
          <w:rFonts w:hint="eastAsia" w:ascii="宋体" w:hAnsi="宋体"/>
          <w:color w:val="auto"/>
          <w:highlight w:val="none"/>
        </w:rPr>
        <w:t>）本行股东特别是主要股东转让本行股权的，应当事前告知本行董事会。股东依法转让其所持有的股权时有义务告知受让方需符合法律法规和银行业监督管理机构规定的条件</w:t>
      </w:r>
      <w:r>
        <w:rPr>
          <w:rFonts w:hint="eastAsia" w:ascii="宋体" w:hAnsi="宋体"/>
          <w:color w:val="auto"/>
          <w:highlight w:val="none"/>
          <w:lang w:eastAsia="zh-CN"/>
        </w:rPr>
        <w:t>；</w:t>
      </w:r>
    </w:p>
    <w:p>
      <w:pPr>
        <w:ind w:firstLine="480" w:firstLineChars="20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十九</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股东及其控股股东、实际控制人不得滥用股东权利或者利用关联关系，损害本行、其他股东及利益相关者的合法权益，不得干预董事会、高级管理层根据公司章程享有的决策权和管理权，不得越过董事会、高级管理层直接干预本行经营管理；</w:t>
      </w:r>
    </w:p>
    <w:p>
      <w:pPr>
        <w:keepNext w:val="0"/>
        <w:keepLines w:val="0"/>
        <w:widowControl w:val="0"/>
        <w:numPr>
          <w:ilvl w:val="0"/>
          <w:numId w:val="0"/>
        </w:numPr>
        <w:suppressLineNumbers w:val="0"/>
        <w:spacing w:before="0" w:beforeAutospacing="0" w:after="0" w:afterAutospacing="0"/>
        <w:ind w:right="0" w:rightChars="0" w:firstLine="480" w:firstLineChars="200"/>
        <w:jc w:val="both"/>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二十</w:t>
      </w:r>
      <w:r>
        <w:rPr>
          <w:rFonts w:hint="eastAsia" w:ascii="宋体" w:hAnsi="宋体"/>
          <w:color w:val="auto"/>
          <w:highlight w:val="none"/>
          <w:lang w:eastAsia="zh-CN"/>
        </w:rPr>
        <w:t>）</w:t>
      </w:r>
      <w:r>
        <w:rPr>
          <w:rFonts w:hint="eastAsia" w:ascii="宋体" w:hAnsi="宋体"/>
          <w:color w:val="auto"/>
          <w:highlight w:val="none"/>
        </w:rPr>
        <w:t>股东以本行股权为自己或他人担保的，应当严格遵守法律法规和监管部门的要求，并事前告知本行董事会；股东在本行借款余额超过其持有经审计的本行上一年度股权净值的，不得将本行股权进行质押。直接、间接、共同持有或控制本行2%以上股权或表决权的股东出质本行股权，事前须向本行董事会申请备案，说明出质的原因、股权数额、质押期限、质押权人等基本情况。凡董事会认定对本行股权稳定、公司治理、风险与关联交易控制等存在重大不利影响的，应不予备案。主要股东出质股权数量不应超过其持有的本行股权的50%；所有股东出质股权数量不应超过本行全部股权的20%。</w:t>
      </w:r>
    </w:p>
    <w:p>
      <w:pPr>
        <w:keepNext w:val="0"/>
        <w:keepLines w:val="0"/>
        <w:widowControl w:val="0"/>
        <w:numPr>
          <w:ilvl w:val="0"/>
          <w:numId w:val="0"/>
        </w:numPr>
        <w:suppressLineNumbers w:val="0"/>
        <w:spacing w:before="0" w:beforeAutospacing="0" w:after="0" w:afterAutospacing="0"/>
        <w:ind w:right="0" w:rightChars="0" w:firstLine="480" w:firstLineChars="200"/>
        <w:jc w:val="both"/>
        <w:rPr>
          <w:rFonts w:hint="eastAsia" w:ascii="宋体" w:hAnsi="宋体" w:eastAsia="宋体" w:cs="Times New Roman"/>
          <w:color w:val="auto"/>
          <w:highlight w:val="none"/>
          <w:lang w:val="en-US"/>
        </w:rPr>
      </w:pPr>
      <w:r>
        <w:rPr>
          <w:rFonts w:hint="eastAsia" w:ascii="宋体" w:hAnsi="宋体" w:eastAsia="宋体" w:cs="Times New Roman"/>
          <w:color w:val="auto"/>
          <w:highlight w:val="none"/>
          <w:lang w:val="en-US" w:eastAsia="zh-CN"/>
        </w:rPr>
        <w:t>（二十一）本行发生风险事件或者重大违规行为的，股东应当配合监管机构开展调查和风险处置；</w:t>
      </w:r>
    </w:p>
    <w:p>
      <w:pPr>
        <w:ind w:firstLine="48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二十二</w:t>
      </w:r>
      <w:r>
        <w:rPr>
          <w:rFonts w:hint="eastAsia" w:ascii="宋体" w:hAnsi="宋体"/>
          <w:color w:val="auto"/>
          <w:highlight w:val="none"/>
        </w:rPr>
        <w:t>）法律、行政法规、监管规定及本章程规定应当承担的其他义务。</w:t>
      </w:r>
    </w:p>
    <w:p>
      <w:pPr>
        <w:numPr>
          <w:ilvl w:val="0"/>
          <w:numId w:val="3"/>
        </w:numPr>
        <w:ind w:left="0" w:firstLine="426"/>
        <w:rPr>
          <w:rFonts w:ascii="宋体" w:hAnsi="宋体"/>
          <w:color w:val="auto"/>
          <w:highlight w:val="none"/>
        </w:rPr>
      </w:pPr>
      <w:r>
        <w:rPr>
          <w:rFonts w:hint="eastAsia" w:ascii="宋体" w:hAnsi="宋体"/>
          <w:color w:val="auto"/>
          <w:highlight w:val="none"/>
        </w:rPr>
        <w:t>本行的控股股东在行使表决权时，不得作出有损于本行和其他股东合法权益的决定。</w:t>
      </w:r>
    </w:p>
    <w:p>
      <w:pPr>
        <w:numPr>
          <w:ilvl w:val="0"/>
          <w:numId w:val="3"/>
        </w:numPr>
        <w:ind w:left="0" w:firstLine="426"/>
        <w:rPr>
          <w:rFonts w:ascii="宋体" w:hAnsi="宋体"/>
          <w:color w:val="auto"/>
          <w:highlight w:val="none"/>
        </w:rPr>
      </w:pPr>
      <w:r>
        <w:rPr>
          <w:rFonts w:hint="eastAsia" w:ascii="宋体" w:hAnsi="宋体"/>
          <w:color w:val="auto"/>
          <w:highlight w:val="none"/>
        </w:rPr>
        <w:t>本行资本充足率低于法定标准时，股东应支持董事会提出的提高资本充足率的措施。</w:t>
      </w:r>
    </w:p>
    <w:p>
      <w:pPr>
        <w:numPr>
          <w:ilvl w:val="0"/>
          <w:numId w:val="3"/>
        </w:numPr>
        <w:ind w:left="0" w:firstLine="426"/>
        <w:rPr>
          <w:rFonts w:ascii="宋体" w:hAnsi="宋体"/>
          <w:color w:val="auto"/>
          <w:highlight w:val="none"/>
        </w:rPr>
      </w:pPr>
      <w:r>
        <w:rPr>
          <w:rFonts w:hint="eastAsia" w:ascii="宋体" w:hAnsi="宋体"/>
          <w:color w:val="auto"/>
          <w:highlight w:val="none"/>
        </w:rPr>
        <w:t>本行可能出现流动性困难时，在本行有借款的股东要立即归还到期借款，未到期的借款应提前偿还。</w:t>
      </w:r>
    </w:p>
    <w:p>
      <w:pPr>
        <w:ind w:firstLine="480" w:firstLineChars="200"/>
        <w:rPr>
          <w:rFonts w:ascii="宋体" w:hAnsi="宋体"/>
          <w:color w:val="auto"/>
          <w:highlight w:val="none"/>
        </w:rPr>
      </w:pPr>
      <w:r>
        <w:rPr>
          <w:rFonts w:hint="eastAsia" w:ascii="宋体" w:hAnsi="宋体"/>
          <w:color w:val="auto"/>
          <w:highlight w:val="none"/>
        </w:rPr>
        <w:t>前款所述“流动性困难”应当根据相关法律、行政法规及银行业监督管理机构等有权主管机关的规定确定，相关法律、行政法规及银行业监督管理机构等有权主管机关没有规定的，由本行董事会决议确定。</w:t>
      </w:r>
    </w:p>
    <w:p>
      <w:pPr>
        <w:ind w:firstLine="480" w:firstLineChars="200"/>
        <w:rPr>
          <w:rFonts w:hint="eastAsia" w:ascii="宋体" w:hAnsi="宋体"/>
          <w:color w:val="auto"/>
          <w:highlight w:val="none"/>
        </w:rPr>
      </w:pPr>
      <w:r>
        <w:rPr>
          <w:rFonts w:hint="eastAsia" w:ascii="宋体" w:hAnsi="宋体"/>
          <w:color w:val="auto"/>
          <w:highlight w:val="none"/>
        </w:rPr>
        <w:t>主发起行应承诺为本行提供流动性支持，并与本行签订流动性支持协议，协议中应明确流动性支持的触发机制和资金安排；应牵头组织重大风险或问题机构的处置。</w:t>
      </w:r>
    </w:p>
    <w:p>
      <w:pPr>
        <w:numPr>
          <w:ilvl w:val="0"/>
          <w:numId w:val="3"/>
        </w:numPr>
        <w:ind w:left="0" w:firstLine="426"/>
        <w:rPr>
          <w:rFonts w:hint="eastAsia" w:ascii="宋体" w:hAnsi="宋体"/>
          <w:color w:val="auto"/>
          <w:highlight w:val="none"/>
        </w:rPr>
      </w:pPr>
      <w:bookmarkStart w:id="17" w:name="OLE_LINK129"/>
      <w:bookmarkStart w:id="18" w:name="OLE_LINK130"/>
      <w:r>
        <w:rPr>
          <w:rFonts w:hint="eastAsia" w:ascii="宋体" w:hAnsi="宋体"/>
          <w:color w:val="auto"/>
          <w:highlight w:val="none"/>
        </w:rPr>
        <w:t>本行对股东及其关联方贷款的条件不得优于其他借款人同类贷款的条件，不得对关系人发放信用贷款。本行不得接受本行股权为质押权标的。</w:t>
      </w:r>
    </w:p>
    <w:bookmarkEnd w:id="17"/>
    <w:bookmarkEnd w:id="18"/>
    <w:p>
      <w:pPr>
        <w:pStyle w:val="41"/>
        <w:widowControl/>
        <w:pBdr>
          <w:top w:val="none" w:color="auto" w:sz="0" w:space="0"/>
          <w:left w:val="none" w:color="auto" w:sz="0" w:space="0"/>
          <w:bottom w:val="none" w:color="auto" w:sz="0" w:space="0"/>
          <w:right w:val="none" w:color="auto" w:sz="0" w:space="0"/>
        </w:pBdr>
        <w:spacing w:beforeAutospacing="0" w:after="0" w:afterAutospacing="0" w:line="24" w:lineRule="atLeast"/>
        <w:ind w:left="0" w:right="0" w:firstLine="480" w:firstLineChars="200"/>
        <w:jc w:val="both"/>
        <w:rPr>
          <w:rFonts w:hint="eastAsia" w:ascii="宋体" w:hAnsi="宋体" w:eastAsia="宋体"/>
          <w:color w:val="auto"/>
          <w:highlight w:val="none"/>
          <w:lang w:eastAsia="zh-CN"/>
        </w:rPr>
      </w:pPr>
      <w:r>
        <w:rPr>
          <w:rFonts w:hint="eastAsia" w:eastAsia="宋体"/>
          <w:color w:val="auto"/>
          <w:highlight w:val="none"/>
          <w:lang w:val="en-US" w:eastAsia="zh-CN"/>
        </w:rPr>
        <w:t>同一借款人在本行的贷款余额不得超过本行资本净额的10%，单一集团企业客户的授信余额不得超过资本净额的15%；但在监管政策对上述限制进行调整后，董事会有权在监管政策允许范围内对上述限额进行调整</w:t>
      </w:r>
      <w:r>
        <w:rPr>
          <w:rFonts w:hint="eastAsia" w:ascii="宋体" w:hAnsi="宋体" w:eastAsia="宋体"/>
          <w:color w:val="auto"/>
          <w:highlight w:val="none"/>
        </w:rPr>
        <w:t>。</w:t>
      </w:r>
    </w:p>
    <w:p>
      <w:pPr>
        <w:ind w:firstLine="480" w:firstLineChars="200"/>
        <w:rPr>
          <w:rFonts w:hint="eastAsia" w:ascii="宋体" w:hAnsi="宋体"/>
          <w:color w:val="auto"/>
        </w:rPr>
      </w:pPr>
      <w:r>
        <w:rPr>
          <w:rFonts w:hint="eastAsia" w:ascii="宋体" w:hAnsi="宋体"/>
          <w:color w:val="auto"/>
          <w:highlight w:val="none"/>
        </w:rPr>
        <w:t>本行</w:t>
      </w:r>
      <w:r>
        <w:rPr>
          <w:rFonts w:hint="eastAsia"/>
          <w:color w:val="auto"/>
          <w:highlight w:val="none"/>
        </w:rPr>
        <w:t>不得为关联方的融资行为提供担保，但关联方以银行存单</w:t>
      </w:r>
      <w:r>
        <w:rPr>
          <w:rFonts w:hint="eastAsia"/>
          <w:color w:val="auto"/>
        </w:rPr>
        <w:t>、国债提供足额反担保的除外</w:t>
      </w:r>
      <w:r>
        <w:rPr>
          <w:rFonts w:hint="eastAsia" w:ascii="宋体" w:hAnsi="宋体"/>
          <w:color w:val="auto"/>
        </w:rPr>
        <w:t>。</w:t>
      </w:r>
    </w:p>
    <w:p>
      <w:pPr>
        <w:ind w:firstLine="480" w:firstLineChars="200"/>
        <w:rPr>
          <w:rFonts w:hint="eastAsia" w:ascii="宋体" w:hAnsi="宋体"/>
          <w:color w:val="auto"/>
        </w:rPr>
      </w:pPr>
      <w:r>
        <w:rPr>
          <w:rFonts w:hint="eastAsia" w:ascii="宋体" w:hAnsi="宋体"/>
          <w:color w:val="auto"/>
        </w:rPr>
        <w:t>股东在本行授信逾期时，其不能行使表决权，其派出董事在董事会上不能行使表决权。</w:t>
      </w:r>
    </w:p>
    <w:p>
      <w:pPr>
        <w:numPr>
          <w:ilvl w:val="0"/>
          <w:numId w:val="3"/>
        </w:numPr>
        <w:ind w:left="0" w:firstLine="426"/>
        <w:rPr>
          <w:rFonts w:ascii="宋体" w:hAnsi="宋体"/>
          <w:color w:val="auto"/>
        </w:rPr>
      </w:pPr>
      <w:r>
        <w:rPr>
          <w:rFonts w:hint="eastAsia" w:ascii="宋体" w:hAnsi="宋体"/>
          <w:color w:val="auto"/>
        </w:rPr>
        <w:t>股东是本行的权力机构，依法行使下列职权：</w:t>
      </w:r>
    </w:p>
    <w:p>
      <w:pPr>
        <w:ind w:firstLine="480" w:firstLineChars="200"/>
        <w:rPr>
          <w:rFonts w:ascii="宋体" w:hAnsi="宋体"/>
          <w:color w:val="auto"/>
        </w:rPr>
      </w:pPr>
      <w:r>
        <w:rPr>
          <w:rFonts w:ascii="宋体" w:hAnsi="宋体"/>
          <w:color w:val="auto"/>
        </w:rPr>
        <w:t>（一）决定</w:t>
      </w:r>
      <w:r>
        <w:rPr>
          <w:rFonts w:hint="eastAsia" w:ascii="宋体" w:hAnsi="宋体"/>
          <w:color w:val="auto"/>
        </w:rPr>
        <w:t>本行</w:t>
      </w:r>
      <w:r>
        <w:rPr>
          <w:rFonts w:ascii="宋体" w:hAnsi="宋体"/>
          <w:color w:val="auto"/>
        </w:rPr>
        <w:t>的经营方针和投资计划；</w:t>
      </w:r>
    </w:p>
    <w:p>
      <w:pPr>
        <w:ind w:firstLine="480" w:firstLineChars="200"/>
        <w:rPr>
          <w:rFonts w:ascii="宋体" w:hAnsi="宋体"/>
          <w:color w:val="auto"/>
        </w:rPr>
      </w:pPr>
      <w:r>
        <w:rPr>
          <w:rFonts w:ascii="宋体" w:hAnsi="宋体"/>
          <w:color w:val="auto"/>
        </w:rPr>
        <w:t>（二）</w:t>
      </w:r>
      <w:r>
        <w:rPr>
          <w:rFonts w:hint="eastAsia" w:ascii="宋体" w:hAnsi="宋体"/>
          <w:color w:val="auto"/>
        </w:rPr>
        <w:t>委派</w:t>
      </w:r>
      <w:r>
        <w:rPr>
          <w:rFonts w:ascii="宋体" w:hAnsi="宋体"/>
          <w:color w:val="auto"/>
        </w:rPr>
        <w:t>和更换</w:t>
      </w:r>
      <w:r>
        <w:rPr>
          <w:rFonts w:hint="eastAsia" w:ascii="宋体" w:hAnsi="宋体"/>
          <w:color w:val="auto"/>
        </w:rPr>
        <w:t>非由职工代表担任的</w:t>
      </w:r>
      <w:r>
        <w:rPr>
          <w:rFonts w:ascii="宋体" w:hAnsi="宋体"/>
          <w:color w:val="auto"/>
        </w:rPr>
        <w:t>董事、监事，决定有关董事、监事的报酬事项；</w:t>
      </w:r>
    </w:p>
    <w:p>
      <w:pPr>
        <w:ind w:firstLine="480" w:firstLineChars="200"/>
        <w:rPr>
          <w:rFonts w:ascii="宋体" w:hAnsi="宋体"/>
          <w:color w:val="auto"/>
        </w:rPr>
      </w:pPr>
      <w:r>
        <w:rPr>
          <w:rFonts w:ascii="宋体" w:hAnsi="宋体"/>
          <w:color w:val="auto"/>
        </w:rPr>
        <w:t>（三）审议批准董事会的报告；</w:t>
      </w:r>
    </w:p>
    <w:p>
      <w:pPr>
        <w:ind w:firstLine="480" w:firstLineChars="200"/>
        <w:rPr>
          <w:rFonts w:ascii="宋体" w:hAnsi="宋体"/>
          <w:color w:val="auto"/>
        </w:rPr>
      </w:pPr>
      <w:r>
        <w:rPr>
          <w:rFonts w:ascii="宋体" w:hAnsi="宋体"/>
          <w:color w:val="auto"/>
        </w:rPr>
        <w:t>（四）审议批准监事</w:t>
      </w:r>
      <w:r>
        <w:rPr>
          <w:rFonts w:hint="eastAsia" w:ascii="宋体" w:hAnsi="宋体"/>
          <w:color w:val="auto"/>
        </w:rPr>
        <w:t>会</w:t>
      </w:r>
      <w:r>
        <w:rPr>
          <w:rFonts w:ascii="宋体" w:hAnsi="宋体"/>
          <w:color w:val="auto"/>
        </w:rPr>
        <w:t>的报告；</w:t>
      </w:r>
    </w:p>
    <w:p>
      <w:pPr>
        <w:ind w:firstLine="480" w:firstLineChars="200"/>
        <w:rPr>
          <w:rFonts w:ascii="宋体" w:hAnsi="宋体"/>
          <w:color w:val="auto"/>
        </w:rPr>
      </w:pPr>
      <w:r>
        <w:rPr>
          <w:rFonts w:ascii="宋体" w:hAnsi="宋体"/>
          <w:color w:val="auto"/>
        </w:rPr>
        <w:t>（五）审议批准</w:t>
      </w:r>
      <w:r>
        <w:rPr>
          <w:rFonts w:hint="eastAsia" w:ascii="宋体" w:hAnsi="宋体"/>
          <w:color w:val="auto"/>
        </w:rPr>
        <w:t>本行</w:t>
      </w:r>
      <w:r>
        <w:rPr>
          <w:rFonts w:ascii="宋体" w:hAnsi="宋体"/>
          <w:color w:val="auto"/>
        </w:rPr>
        <w:t>的年度财务预算方案、决算方案；</w:t>
      </w:r>
    </w:p>
    <w:p>
      <w:pPr>
        <w:ind w:firstLine="480" w:firstLineChars="200"/>
        <w:rPr>
          <w:rFonts w:ascii="宋体" w:hAnsi="宋体"/>
          <w:color w:val="auto"/>
        </w:rPr>
      </w:pPr>
      <w:r>
        <w:rPr>
          <w:rFonts w:ascii="宋体" w:hAnsi="宋体"/>
          <w:color w:val="auto"/>
        </w:rPr>
        <w:t>（六）审议批准</w:t>
      </w:r>
      <w:r>
        <w:rPr>
          <w:rFonts w:hint="eastAsia" w:ascii="宋体" w:hAnsi="宋体"/>
          <w:color w:val="auto"/>
        </w:rPr>
        <w:t>本行</w:t>
      </w:r>
      <w:r>
        <w:rPr>
          <w:rFonts w:ascii="宋体" w:hAnsi="宋体"/>
          <w:color w:val="auto"/>
        </w:rPr>
        <w:t>的利润分配方案和弥补亏损方案；</w:t>
      </w:r>
    </w:p>
    <w:p>
      <w:pPr>
        <w:ind w:firstLine="480" w:firstLineChars="200"/>
        <w:rPr>
          <w:rFonts w:ascii="宋体" w:hAnsi="宋体"/>
          <w:color w:val="auto"/>
        </w:rPr>
      </w:pPr>
      <w:r>
        <w:rPr>
          <w:rFonts w:ascii="宋体" w:hAnsi="宋体"/>
          <w:color w:val="auto"/>
        </w:rPr>
        <w:t>（七）对</w:t>
      </w:r>
      <w:r>
        <w:rPr>
          <w:rFonts w:hint="eastAsia" w:ascii="宋体" w:hAnsi="宋体"/>
          <w:color w:val="auto"/>
        </w:rPr>
        <w:t>本行</w:t>
      </w:r>
      <w:r>
        <w:rPr>
          <w:rFonts w:ascii="宋体" w:hAnsi="宋体"/>
          <w:color w:val="auto"/>
        </w:rPr>
        <w:t>增加或者减少注册资本作出</w:t>
      </w:r>
      <w:r>
        <w:rPr>
          <w:rFonts w:hint="eastAsia" w:ascii="宋体" w:hAnsi="宋体"/>
          <w:color w:val="auto"/>
        </w:rPr>
        <w:t>决定</w:t>
      </w:r>
      <w:r>
        <w:rPr>
          <w:rFonts w:ascii="宋体" w:hAnsi="宋体"/>
          <w:color w:val="auto"/>
        </w:rPr>
        <w:t>；</w:t>
      </w:r>
    </w:p>
    <w:p>
      <w:pPr>
        <w:ind w:firstLine="480" w:firstLineChars="200"/>
        <w:rPr>
          <w:rFonts w:ascii="宋体" w:hAnsi="宋体"/>
          <w:color w:val="auto"/>
        </w:rPr>
      </w:pPr>
      <w:r>
        <w:rPr>
          <w:rFonts w:ascii="宋体" w:hAnsi="宋体"/>
          <w:color w:val="auto"/>
        </w:rPr>
        <w:t>（八）对发行</w:t>
      </w:r>
      <w:r>
        <w:rPr>
          <w:rFonts w:hint="eastAsia" w:ascii="宋体" w:hAnsi="宋体"/>
          <w:color w:val="auto"/>
        </w:rPr>
        <w:t>本行</w:t>
      </w:r>
      <w:r>
        <w:rPr>
          <w:rFonts w:ascii="宋体" w:hAnsi="宋体"/>
          <w:color w:val="auto"/>
        </w:rPr>
        <w:t>债券作出</w:t>
      </w:r>
      <w:r>
        <w:rPr>
          <w:rFonts w:hint="eastAsia" w:ascii="宋体" w:hAnsi="宋体"/>
          <w:color w:val="auto"/>
        </w:rPr>
        <w:t>决定</w:t>
      </w:r>
      <w:r>
        <w:rPr>
          <w:rFonts w:ascii="宋体" w:hAnsi="宋体"/>
          <w:color w:val="auto"/>
        </w:rPr>
        <w:t>；</w:t>
      </w:r>
    </w:p>
    <w:p>
      <w:pPr>
        <w:ind w:firstLine="480" w:firstLineChars="200"/>
        <w:rPr>
          <w:rFonts w:ascii="宋体" w:hAnsi="宋体"/>
          <w:color w:val="auto"/>
        </w:rPr>
      </w:pPr>
      <w:r>
        <w:rPr>
          <w:rFonts w:ascii="宋体" w:hAnsi="宋体"/>
          <w:color w:val="auto"/>
        </w:rPr>
        <w:t>（九）对</w:t>
      </w:r>
      <w:r>
        <w:rPr>
          <w:rFonts w:hint="eastAsia" w:ascii="宋体" w:hAnsi="宋体"/>
          <w:color w:val="auto"/>
        </w:rPr>
        <w:t>本行</w:t>
      </w:r>
      <w:r>
        <w:rPr>
          <w:rFonts w:ascii="宋体" w:hAnsi="宋体"/>
          <w:color w:val="auto"/>
        </w:rPr>
        <w:t>合并、分立、解散、清算</w:t>
      </w:r>
      <w:r>
        <w:rPr>
          <w:rFonts w:hint="eastAsia" w:ascii="宋体" w:hAnsi="宋体"/>
          <w:color w:val="auto"/>
        </w:rPr>
        <w:t>等事项</w:t>
      </w:r>
      <w:r>
        <w:rPr>
          <w:rFonts w:ascii="宋体" w:hAnsi="宋体"/>
          <w:color w:val="auto"/>
        </w:rPr>
        <w:t>作出</w:t>
      </w:r>
      <w:r>
        <w:rPr>
          <w:rFonts w:hint="eastAsia" w:ascii="宋体" w:hAnsi="宋体"/>
          <w:color w:val="auto"/>
        </w:rPr>
        <w:t>决定</w:t>
      </w:r>
      <w:r>
        <w:rPr>
          <w:rFonts w:ascii="宋体" w:hAnsi="宋体"/>
          <w:color w:val="auto"/>
        </w:rPr>
        <w:t>；</w:t>
      </w:r>
    </w:p>
    <w:p>
      <w:pPr>
        <w:ind w:firstLine="480" w:firstLineChars="200"/>
        <w:rPr>
          <w:rFonts w:ascii="宋体" w:hAnsi="宋体"/>
          <w:color w:val="auto"/>
        </w:rPr>
      </w:pPr>
      <w:r>
        <w:rPr>
          <w:rFonts w:ascii="宋体" w:hAnsi="宋体"/>
          <w:color w:val="auto"/>
        </w:rPr>
        <w:t>（十）修改</w:t>
      </w:r>
      <w:r>
        <w:rPr>
          <w:rFonts w:hint="eastAsia" w:ascii="宋体" w:hAnsi="宋体"/>
          <w:color w:val="auto"/>
        </w:rPr>
        <w:t>本</w:t>
      </w:r>
      <w:r>
        <w:rPr>
          <w:rFonts w:ascii="宋体" w:hAnsi="宋体"/>
          <w:color w:val="auto"/>
        </w:rPr>
        <w:t>章程；</w:t>
      </w:r>
    </w:p>
    <w:p>
      <w:pPr>
        <w:ind w:firstLine="480" w:firstLineChars="200"/>
        <w:rPr>
          <w:rFonts w:ascii="宋体" w:hAnsi="宋体"/>
          <w:color w:val="auto"/>
        </w:rPr>
      </w:pPr>
      <w:r>
        <w:rPr>
          <w:rFonts w:hint="eastAsia" w:ascii="宋体" w:hAnsi="宋体"/>
          <w:color w:val="auto"/>
        </w:rPr>
        <w:t>（十一）审议法律、行政法规、监管规定和本章程规定应当由股东决定的其他事项。</w:t>
      </w:r>
    </w:p>
    <w:p>
      <w:pPr>
        <w:ind w:firstLine="480" w:firstLineChars="200"/>
        <w:rPr>
          <w:rFonts w:hint="eastAsia" w:ascii="宋体" w:hAnsi="宋体"/>
          <w:color w:val="auto"/>
        </w:rPr>
      </w:pPr>
      <w:r>
        <w:rPr>
          <w:rFonts w:hint="eastAsia" w:ascii="宋体" w:hAnsi="宋体"/>
          <w:color w:val="auto"/>
        </w:rPr>
        <w:t>以上事项由本行股东以书面决定的形式作出，盖章后置备于本行。本行</w:t>
      </w:r>
      <w:r>
        <w:rPr>
          <w:rFonts w:ascii="宋体" w:hAnsi="宋体"/>
          <w:color w:val="auto"/>
        </w:rPr>
        <w:t>应妥善保存股东</w:t>
      </w:r>
      <w:r>
        <w:rPr>
          <w:rFonts w:hint="eastAsia" w:ascii="宋体" w:hAnsi="宋体"/>
          <w:color w:val="auto"/>
        </w:rPr>
        <w:t>书面</w:t>
      </w:r>
      <w:r>
        <w:rPr>
          <w:rFonts w:ascii="宋体" w:hAnsi="宋体"/>
          <w:color w:val="auto"/>
        </w:rPr>
        <w:t>决定，保存期限为永久。</w:t>
      </w:r>
    </w:p>
    <w:p>
      <w:pPr>
        <w:ind w:firstLine="480" w:firstLineChars="200"/>
        <w:rPr>
          <w:rFonts w:ascii="宋体" w:hAnsi="宋体"/>
          <w:color w:val="auto"/>
        </w:rPr>
      </w:pPr>
    </w:p>
    <w:p>
      <w:pPr>
        <w:jc w:val="center"/>
        <w:rPr>
          <w:rFonts w:ascii="宋体" w:hAnsi="宋体"/>
          <w:b/>
          <w:color w:val="auto"/>
        </w:rPr>
      </w:pPr>
      <w:r>
        <w:rPr>
          <w:rFonts w:hint="eastAsia" w:ascii="宋体" w:hAnsi="宋体"/>
          <w:b/>
          <w:color w:val="auto"/>
        </w:rPr>
        <w:t>第五章 董事会</w:t>
      </w:r>
    </w:p>
    <w:p>
      <w:pPr>
        <w:jc w:val="center"/>
        <w:rPr>
          <w:rFonts w:ascii="宋体" w:hAnsi="宋体"/>
          <w:color w:val="auto"/>
        </w:rPr>
      </w:pPr>
    </w:p>
    <w:p>
      <w:pPr>
        <w:jc w:val="center"/>
        <w:rPr>
          <w:rFonts w:ascii="宋体" w:hAnsi="宋体"/>
          <w:color w:val="auto"/>
        </w:rPr>
      </w:pPr>
      <w:r>
        <w:rPr>
          <w:rFonts w:hint="eastAsia" w:ascii="宋体" w:hAnsi="宋体"/>
          <w:color w:val="auto"/>
        </w:rPr>
        <w:t>第一节 董事</w:t>
      </w:r>
    </w:p>
    <w:p>
      <w:pPr>
        <w:numPr>
          <w:ilvl w:val="0"/>
          <w:numId w:val="3"/>
        </w:numPr>
        <w:ind w:left="0" w:firstLine="426"/>
        <w:rPr>
          <w:rFonts w:hint="eastAsia" w:ascii="宋体" w:hAnsi="宋体"/>
          <w:color w:val="auto"/>
        </w:rPr>
      </w:pPr>
      <w:r>
        <w:rPr>
          <w:rFonts w:hint="eastAsia" w:ascii="宋体" w:hAnsi="宋体"/>
          <w:color w:val="auto"/>
        </w:rPr>
        <w:t>本行董事应当符合法律、行政法规及银行业监督管理机构等有权主管机关要求的任职资格条件。</w:t>
      </w:r>
    </w:p>
    <w:p>
      <w:pPr>
        <w:numPr>
          <w:ilvl w:val="0"/>
          <w:numId w:val="3"/>
        </w:numPr>
        <w:ind w:left="0" w:firstLine="426"/>
        <w:rPr>
          <w:rFonts w:hint="eastAsia" w:ascii="宋体" w:hAnsi="宋体"/>
          <w:color w:val="auto"/>
        </w:rPr>
      </w:pPr>
      <w:r>
        <w:rPr>
          <w:rFonts w:hint="eastAsia" w:ascii="宋体" w:hAnsi="宋体"/>
          <w:color w:val="auto"/>
        </w:rPr>
        <w:t>有下列情形之一的，不能担任本行的董事：</w:t>
      </w:r>
    </w:p>
    <w:p>
      <w:pPr>
        <w:ind w:firstLine="480" w:firstLineChars="200"/>
        <w:rPr>
          <w:rFonts w:hint="eastAsia" w:ascii="宋体" w:hAnsi="宋体"/>
          <w:color w:val="auto"/>
        </w:rPr>
      </w:pPr>
      <w:r>
        <w:rPr>
          <w:rFonts w:hint="eastAsia" w:ascii="宋体" w:hAnsi="宋体"/>
          <w:color w:val="auto"/>
        </w:rPr>
        <w:t>（一）无民事行为能力或限制民事行为能力；</w:t>
      </w:r>
    </w:p>
    <w:p>
      <w:pPr>
        <w:ind w:firstLine="480" w:firstLineChars="200"/>
        <w:rPr>
          <w:rFonts w:hint="eastAsia" w:ascii="宋体" w:hAnsi="宋体"/>
          <w:color w:val="auto"/>
        </w:rPr>
      </w:pPr>
      <w:r>
        <w:rPr>
          <w:rFonts w:hint="eastAsia" w:ascii="宋体" w:hAnsi="宋体"/>
          <w:color w:val="auto"/>
        </w:rPr>
        <w:t>（二）因贪污、贿赂、侵占财产、挪用财产或者破坏社会主义市场经济秩序，被判处刑罚，执行期满未逾5年，或者因犯罪被剥夺政治权力，执行期满未逾5年；</w:t>
      </w:r>
    </w:p>
    <w:p>
      <w:pPr>
        <w:ind w:firstLine="480" w:firstLineChars="200"/>
        <w:rPr>
          <w:rFonts w:hint="eastAsia" w:ascii="宋体" w:hAnsi="宋体"/>
          <w:color w:val="auto"/>
        </w:rPr>
      </w:pPr>
      <w:r>
        <w:rPr>
          <w:rFonts w:hint="eastAsia" w:ascii="宋体" w:hAnsi="宋体"/>
          <w:color w:val="auto"/>
        </w:rPr>
        <w:t>（三）担任破产清算的公司、企业的董事或者厂长、经理，对该公司、企业的破产负有个人责任的，自该公司、企业破产清算完结之日起未逾3年；</w:t>
      </w:r>
    </w:p>
    <w:p>
      <w:pPr>
        <w:ind w:firstLine="480" w:firstLineChars="200"/>
        <w:rPr>
          <w:rFonts w:hint="eastAsia" w:ascii="宋体" w:hAnsi="宋体"/>
          <w:color w:val="auto"/>
        </w:rPr>
      </w:pPr>
      <w:r>
        <w:rPr>
          <w:rFonts w:hint="eastAsia" w:ascii="宋体" w:hAnsi="宋体"/>
          <w:color w:val="auto"/>
        </w:rPr>
        <w:t>（四）担任因违法被吊销营业执照、责令关闭的公司、企业的法定代表人，并负有个人责任的，自该公司、企业被吊销营业执照之日起未逾3年；</w:t>
      </w:r>
    </w:p>
    <w:p>
      <w:pPr>
        <w:ind w:firstLine="480" w:firstLineChars="200"/>
        <w:rPr>
          <w:rFonts w:hint="eastAsia" w:ascii="宋体" w:hAnsi="宋体"/>
          <w:color w:val="auto"/>
        </w:rPr>
      </w:pPr>
      <w:r>
        <w:rPr>
          <w:rFonts w:hint="eastAsia" w:ascii="宋体" w:hAnsi="宋体"/>
          <w:color w:val="auto"/>
        </w:rPr>
        <w:t>（五）个人所负数额较大的债务到期未清偿；</w:t>
      </w:r>
    </w:p>
    <w:p>
      <w:pPr>
        <w:ind w:firstLine="480" w:firstLineChars="200"/>
        <w:rPr>
          <w:rFonts w:hint="eastAsia" w:ascii="宋体" w:hAnsi="宋体"/>
          <w:color w:val="auto"/>
        </w:rPr>
      </w:pPr>
      <w:r>
        <w:rPr>
          <w:rFonts w:hint="eastAsia" w:ascii="宋体" w:hAnsi="宋体"/>
          <w:color w:val="auto"/>
        </w:rPr>
        <w:t>（六）法律、行政法规或监管部门规定的其他情形。</w:t>
      </w:r>
    </w:p>
    <w:p>
      <w:pPr>
        <w:numPr>
          <w:ilvl w:val="0"/>
          <w:numId w:val="3"/>
        </w:numPr>
        <w:ind w:left="0" w:firstLine="426"/>
        <w:rPr>
          <w:rFonts w:hint="eastAsia" w:ascii="宋体" w:hAnsi="宋体"/>
          <w:color w:val="auto"/>
        </w:rPr>
      </w:pPr>
      <w:r>
        <w:rPr>
          <w:rFonts w:hint="eastAsia" w:ascii="宋体" w:hAnsi="宋体"/>
          <w:color w:val="auto"/>
        </w:rPr>
        <w:t>董事由股东委派或更换，每届任期3年。董事任期届满，可由股东委派继续连任。</w:t>
      </w:r>
    </w:p>
    <w:p>
      <w:pPr>
        <w:ind w:firstLine="480" w:firstLineChars="200"/>
        <w:rPr>
          <w:rFonts w:ascii="宋体" w:hAnsi="宋体"/>
          <w:color w:val="auto"/>
        </w:rPr>
      </w:pPr>
      <w:r>
        <w:rPr>
          <w:rFonts w:hint="eastAsia" w:ascii="宋体" w:hAnsi="宋体"/>
          <w:color w:val="auto"/>
        </w:rPr>
        <w:t>董事任期从股东决定通过并经监管机构核准任职资格之日起计算，至本届董事会任期届满时为止。董事任期届满未及时改派,或者董事在任期内辞职，在改派出的董事就任前,原董事仍应当依照法律、行政法规、监管规定和本章程的规定,履行董事职务。</w:t>
      </w:r>
    </w:p>
    <w:p>
      <w:pPr>
        <w:numPr>
          <w:ilvl w:val="0"/>
          <w:numId w:val="3"/>
        </w:numPr>
        <w:ind w:left="0" w:firstLine="426"/>
        <w:rPr>
          <w:rFonts w:ascii="宋体" w:hAnsi="宋体"/>
          <w:color w:val="auto"/>
        </w:rPr>
      </w:pPr>
      <w:r>
        <w:rPr>
          <w:rFonts w:hint="eastAsia" w:ascii="宋体" w:hAnsi="宋体"/>
          <w:color w:val="auto"/>
        </w:rPr>
        <w:t>本行董事会董事由股东</w:t>
      </w:r>
      <w:r>
        <w:rPr>
          <w:rFonts w:ascii="宋体" w:hAnsi="宋体"/>
          <w:color w:val="auto"/>
        </w:rPr>
        <w:t>委派</w:t>
      </w:r>
      <w:r>
        <w:rPr>
          <w:rFonts w:hint="eastAsia" w:ascii="宋体" w:hAnsi="宋体"/>
          <w:color w:val="auto"/>
        </w:rPr>
        <w:t>。</w:t>
      </w:r>
    </w:p>
    <w:p>
      <w:pPr>
        <w:numPr>
          <w:ilvl w:val="0"/>
          <w:numId w:val="3"/>
        </w:numPr>
        <w:ind w:left="0" w:firstLine="426"/>
        <w:rPr>
          <w:rFonts w:hint="eastAsia" w:ascii="宋体" w:hAnsi="宋体"/>
          <w:color w:val="auto"/>
        </w:rPr>
      </w:pPr>
      <w:r>
        <w:rPr>
          <w:rFonts w:hint="eastAsia" w:ascii="宋体" w:hAnsi="宋体"/>
          <w:color w:val="auto"/>
        </w:rPr>
        <w:t>董事应当遵守法律、行政法规、监管规定和本章程的规定，忠实履行职责，维护本行利益。当其自身的利益与本行和股东的利益相冲突时，应当以本行和股东的最大利益为行为准则，并保证；</w:t>
      </w:r>
    </w:p>
    <w:p>
      <w:pPr>
        <w:ind w:firstLine="480" w:firstLineChars="200"/>
        <w:rPr>
          <w:rFonts w:hint="eastAsia" w:ascii="宋体" w:hAnsi="宋体"/>
          <w:color w:val="auto"/>
        </w:rPr>
      </w:pPr>
      <w:r>
        <w:rPr>
          <w:rFonts w:hint="eastAsia" w:ascii="宋体" w:hAnsi="宋体"/>
          <w:color w:val="auto"/>
        </w:rPr>
        <w:t>（一）在其职责范围内行使权利，不得越权；</w:t>
      </w:r>
    </w:p>
    <w:p>
      <w:pPr>
        <w:ind w:firstLine="480" w:firstLineChars="200"/>
        <w:rPr>
          <w:rFonts w:hint="eastAsia" w:ascii="宋体" w:hAnsi="宋体"/>
          <w:color w:val="auto"/>
        </w:rPr>
      </w:pPr>
      <w:r>
        <w:rPr>
          <w:rFonts w:hint="eastAsia" w:ascii="宋体" w:hAnsi="宋体"/>
          <w:color w:val="auto"/>
        </w:rPr>
        <w:t>（二）不得将本行资产或资金以其个人名义或者其他个人名义开立账户存储；</w:t>
      </w:r>
    </w:p>
    <w:p>
      <w:pPr>
        <w:ind w:firstLine="480" w:firstLineChars="200"/>
        <w:rPr>
          <w:rFonts w:hint="eastAsia" w:ascii="宋体" w:hAnsi="宋体"/>
          <w:color w:val="auto"/>
        </w:rPr>
      </w:pPr>
      <w:r>
        <w:rPr>
          <w:rFonts w:hint="eastAsia" w:ascii="宋体" w:hAnsi="宋体"/>
          <w:color w:val="auto"/>
        </w:rPr>
        <w:t>（三）不得挪用本行资金；</w:t>
      </w:r>
    </w:p>
    <w:p>
      <w:pPr>
        <w:ind w:firstLine="480" w:firstLineChars="200"/>
        <w:rPr>
          <w:rFonts w:hint="eastAsia" w:ascii="宋体" w:hAnsi="宋体"/>
          <w:color w:val="auto"/>
        </w:rPr>
      </w:pPr>
      <w:r>
        <w:rPr>
          <w:rFonts w:hint="eastAsia" w:ascii="宋体" w:hAnsi="宋体"/>
          <w:color w:val="auto"/>
        </w:rPr>
        <w:t>（四）不得违反本章程的规定，未</w:t>
      </w:r>
      <w:r>
        <w:rPr>
          <w:rFonts w:hint="eastAsia" w:ascii="宋体" w:hAnsi="宋体"/>
          <w:color w:val="auto"/>
          <w:highlight w:val="none"/>
        </w:rPr>
        <w:t>经股东决定或董事会</w:t>
      </w:r>
      <w:r>
        <w:rPr>
          <w:rFonts w:hint="eastAsia" w:ascii="宋体" w:hAnsi="宋体"/>
          <w:color w:val="auto"/>
        </w:rPr>
        <w:t>同意，将本行资金借贷给他人或者以本行财产为他人提供担保；</w:t>
      </w:r>
    </w:p>
    <w:p>
      <w:pPr>
        <w:ind w:firstLine="480" w:firstLineChars="200"/>
        <w:rPr>
          <w:rFonts w:hint="eastAsia" w:ascii="宋体" w:hAnsi="宋体"/>
          <w:color w:val="auto"/>
        </w:rPr>
      </w:pPr>
      <w:r>
        <w:rPr>
          <w:rFonts w:hint="eastAsia" w:ascii="宋体" w:hAnsi="宋体"/>
          <w:color w:val="auto"/>
        </w:rPr>
        <w:t>（五）不得违反本章程的规定或未经股</w:t>
      </w:r>
      <w:r>
        <w:rPr>
          <w:rFonts w:hint="eastAsia" w:ascii="宋体" w:hAnsi="宋体"/>
          <w:color w:val="auto"/>
          <w:highlight w:val="none"/>
        </w:rPr>
        <w:t>东决定同意，</w:t>
      </w:r>
      <w:r>
        <w:rPr>
          <w:rFonts w:hint="eastAsia" w:ascii="宋体" w:hAnsi="宋体"/>
          <w:color w:val="auto"/>
        </w:rPr>
        <w:t>与本行订立合同或者进行交易；</w:t>
      </w:r>
    </w:p>
    <w:p>
      <w:pPr>
        <w:ind w:firstLine="480" w:firstLineChars="200"/>
        <w:rPr>
          <w:rFonts w:hint="eastAsia" w:ascii="宋体" w:hAnsi="宋体"/>
          <w:color w:val="auto"/>
        </w:rPr>
      </w:pPr>
      <w:r>
        <w:rPr>
          <w:rFonts w:hint="eastAsia" w:ascii="宋体" w:hAnsi="宋体"/>
          <w:color w:val="auto"/>
        </w:rPr>
        <w:t>（六）不得接受与本行交易的佣金归为己有；</w:t>
      </w:r>
    </w:p>
    <w:p>
      <w:pPr>
        <w:ind w:firstLine="480" w:firstLineChars="200"/>
        <w:rPr>
          <w:rFonts w:hint="eastAsia" w:ascii="宋体" w:hAnsi="宋体"/>
          <w:color w:val="auto"/>
        </w:rPr>
      </w:pPr>
      <w:r>
        <w:rPr>
          <w:rFonts w:hint="eastAsia" w:ascii="宋体" w:hAnsi="宋体"/>
          <w:color w:val="auto"/>
        </w:rPr>
        <w:t>（七）不得利用职务便利为自己或他人侵占或者接受本应属于本行的商业机会，自营或为他人经营与本行同类的业务；</w:t>
      </w:r>
    </w:p>
    <w:p>
      <w:pPr>
        <w:ind w:firstLine="480" w:firstLineChars="200"/>
        <w:rPr>
          <w:rFonts w:hint="eastAsia" w:ascii="宋体" w:hAnsi="宋体"/>
          <w:color w:val="auto"/>
        </w:rPr>
      </w:pPr>
      <w:r>
        <w:rPr>
          <w:rFonts w:hint="eastAsia" w:ascii="宋体" w:hAnsi="宋体"/>
          <w:color w:val="auto"/>
        </w:rPr>
        <w:t>（八）不得擅自披露本行秘密；</w:t>
      </w:r>
    </w:p>
    <w:p>
      <w:pPr>
        <w:ind w:firstLine="480" w:firstLineChars="200"/>
        <w:rPr>
          <w:rFonts w:hint="eastAsia" w:ascii="宋体" w:hAnsi="宋体"/>
          <w:color w:val="auto"/>
        </w:rPr>
      </w:pPr>
      <w:r>
        <w:rPr>
          <w:rFonts w:hint="eastAsia" w:ascii="宋体" w:hAnsi="宋体"/>
          <w:color w:val="auto"/>
        </w:rPr>
        <w:t>（九）不得利用其关联关系损害本行利益；</w:t>
      </w:r>
    </w:p>
    <w:p>
      <w:pPr>
        <w:ind w:firstLine="480" w:firstLineChars="200"/>
        <w:rPr>
          <w:rFonts w:hint="eastAsia" w:ascii="宋体" w:hAnsi="宋体"/>
          <w:color w:val="auto"/>
        </w:rPr>
      </w:pPr>
      <w:r>
        <w:rPr>
          <w:rFonts w:hint="eastAsia" w:ascii="宋体" w:hAnsi="宋体"/>
          <w:color w:val="auto"/>
        </w:rPr>
        <w:t>（十）法律、行政法规、监管规定及本章程规定的其他忠实义务。</w:t>
      </w:r>
    </w:p>
    <w:p>
      <w:pPr>
        <w:ind w:firstLine="480" w:firstLineChars="200"/>
        <w:rPr>
          <w:rFonts w:hint="eastAsia" w:ascii="宋体" w:hAnsi="宋体"/>
          <w:color w:val="auto"/>
        </w:rPr>
      </w:pPr>
      <w:r>
        <w:rPr>
          <w:rFonts w:hint="eastAsia" w:ascii="宋体" w:hAnsi="宋体"/>
          <w:color w:val="auto"/>
        </w:rPr>
        <w:t>董事违反本条规定所得的收入,应当归本行所有；给本行造成损失的,应当承担赔偿责任。</w:t>
      </w:r>
    </w:p>
    <w:p>
      <w:pPr>
        <w:numPr>
          <w:ilvl w:val="0"/>
          <w:numId w:val="3"/>
        </w:numPr>
        <w:ind w:left="0" w:firstLine="426"/>
        <w:rPr>
          <w:rFonts w:hint="eastAsia" w:ascii="宋体" w:hAnsi="宋体"/>
          <w:color w:val="auto"/>
        </w:rPr>
      </w:pPr>
      <w:r>
        <w:rPr>
          <w:rFonts w:hint="eastAsia" w:ascii="宋体" w:hAnsi="宋体"/>
          <w:color w:val="auto"/>
        </w:rPr>
        <w:t>董事应当谨慎、认真、勤勉地行使本行所赋予的权利，以保证：</w:t>
      </w:r>
    </w:p>
    <w:p>
      <w:pPr>
        <w:ind w:firstLine="480" w:firstLineChars="200"/>
        <w:rPr>
          <w:rFonts w:hint="eastAsia" w:ascii="宋体" w:hAnsi="宋体"/>
          <w:color w:val="auto"/>
        </w:rPr>
      </w:pPr>
      <w:r>
        <w:rPr>
          <w:rFonts w:hint="eastAsia" w:ascii="宋体" w:hAnsi="宋体"/>
          <w:color w:val="auto"/>
        </w:rPr>
        <w:t>（一）本行的商业行为符合国家的法律、行政法规以及国家各项经济政策的要求，商业活动不超越营业执照规定的业务范围；</w:t>
      </w:r>
    </w:p>
    <w:p>
      <w:pPr>
        <w:ind w:firstLine="480" w:firstLineChars="200"/>
        <w:rPr>
          <w:rFonts w:hint="eastAsia" w:ascii="宋体" w:hAnsi="宋体"/>
          <w:color w:val="auto"/>
        </w:rPr>
      </w:pPr>
      <w:r>
        <w:rPr>
          <w:rFonts w:hint="eastAsia" w:ascii="宋体" w:hAnsi="宋体"/>
          <w:color w:val="auto"/>
        </w:rPr>
        <w:t>（二）公平对待股东；</w:t>
      </w:r>
    </w:p>
    <w:p>
      <w:pPr>
        <w:ind w:firstLine="480" w:firstLineChars="200"/>
        <w:rPr>
          <w:rFonts w:hint="eastAsia" w:ascii="宋体" w:hAnsi="宋体"/>
          <w:color w:val="auto"/>
        </w:rPr>
      </w:pPr>
      <w:r>
        <w:rPr>
          <w:rFonts w:hint="eastAsia" w:ascii="宋体" w:hAnsi="宋体"/>
          <w:color w:val="auto"/>
        </w:rPr>
        <w:t>（三）认真阅读本行的各项商务、财务报告，及时了解本行业务经营管理状况；</w:t>
      </w:r>
    </w:p>
    <w:p>
      <w:pPr>
        <w:ind w:firstLine="480" w:firstLineChars="200"/>
        <w:rPr>
          <w:rFonts w:hint="eastAsia" w:ascii="宋体" w:hAnsi="宋体"/>
          <w:color w:val="auto"/>
        </w:rPr>
      </w:pPr>
      <w:r>
        <w:rPr>
          <w:rFonts w:hint="eastAsia" w:ascii="宋体" w:hAnsi="宋体"/>
          <w:color w:val="auto"/>
        </w:rPr>
        <w:t>（四）依法行使被合法赋予的本行管理处置权；</w:t>
      </w:r>
    </w:p>
    <w:p>
      <w:pPr>
        <w:ind w:firstLine="480" w:firstLineChars="200"/>
        <w:rPr>
          <w:rFonts w:hint="eastAsia" w:ascii="宋体" w:hAnsi="宋体"/>
          <w:color w:val="auto"/>
        </w:rPr>
      </w:pPr>
      <w:r>
        <w:rPr>
          <w:rFonts w:hint="eastAsia" w:ascii="宋体" w:hAnsi="宋体"/>
          <w:color w:val="auto"/>
        </w:rPr>
        <w:t>（五）接受监事对其履行职责的合法监督和合理建议；</w:t>
      </w:r>
    </w:p>
    <w:p>
      <w:pPr>
        <w:ind w:firstLine="480" w:firstLineChars="200"/>
        <w:rPr>
          <w:rFonts w:hint="eastAsia" w:ascii="宋体" w:hAnsi="宋体"/>
          <w:color w:val="auto"/>
        </w:rPr>
      </w:pPr>
      <w:r>
        <w:rPr>
          <w:rFonts w:hint="eastAsia" w:ascii="宋体" w:hAnsi="宋体"/>
          <w:color w:val="auto"/>
        </w:rPr>
        <w:t>（六）法律、行政法规、监管规定及本章程规定的其他勤勉义务。</w:t>
      </w:r>
    </w:p>
    <w:p>
      <w:pPr>
        <w:keepNext w:val="0"/>
        <w:keepLines w:val="0"/>
        <w:pageBreakBefore w:val="0"/>
        <w:widowControl/>
        <w:numPr>
          <w:ilvl w:val="0"/>
          <w:numId w:val="3"/>
        </w:numPr>
        <w:kinsoku/>
        <w:wordWrap/>
        <w:overflowPunct/>
        <w:topLinePunct w:val="0"/>
        <w:autoSpaceDE/>
        <w:autoSpaceDN/>
        <w:bidi w:val="0"/>
        <w:adjustRightInd/>
        <w:snapToGrid/>
        <w:ind w:left="0" w:leftChars="0" w:firstLine="425" w:firstLineChars="0"/>
        <w:jc w:val="both"/>
        <w:textAlignment w:val="auto"/>
        <w:rPr>
          <w:rFonts w:hint="eastAsia" w:ascii="宋体" w:hAnsi="宋体" w:eastAsia="宋体" w:cs="Times New Roman"/>
          <w:color w:val="auto"/>
          <w:highlight w:val="none"/>
        </w:rPr>
      </w:pPr>
      <w:r>
        <w:rPr>
          <w:rStyle w:val="45"/>
          <w:rFonts w:hint="eastAsia" w:ascii="宋体" w:hAnsi="宋体" w:eastAsia="宋体" w:cs="宋体"/>
          <w:color w:val="auto"/>
          <w:highlight w:val="none"/>
          <w:lang w:val="en-US" w:eastAsia="zh-CN"/>
        </w:rPr>
        <w:t>本行董事</w:t>
      </w:r>
      <w:r>
        <w:rPr>
          <w:rFonts w:hint="eastAsia" w:ascii="宋体" w:hAnsi="宋体"/>
          <w:color w:val="auto"/>
          <w:highlight w:val="none"/>
        </w:rPr>
        <w:t>承担下列义务：</w:t>
      </w:r>
    </w:p>
    <w:p>
      <w:pPr>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（一）持续关注</w:t>
      </w:r>
      <w:r>
        <w:rPr>
          <w:rFonts w:hint="eastAsia" w:ascii="宋体" w:hAnsi="宋体" w:eastAsia="宋体" w:cs="Times New Roman"/>
          <w:color w:val="auto"/>
          <w:highlight w:val="none"/>
          <w:lang w:val="en-US" w:eastAsia="zh-CN"/>
        </w:rPr>
        <w:t>本行</w:t>
      </w:r>
      <w:r>
        <w:rPr>
          <w:rFonts w:hint="eastAsia" w:ascii="宋体" w:hAnsi="宋体" w:eastAsia="宋体" w:cs="Times New Roman"/>
          <w:color w:val="auto"/>
          <w:highlight w:val="none"/>
        </w:rPr>
        <w:t>经营管理状况，有权要求高级管理层全面、及时、准确地提供反映</w:t>
      </w:r>
      <w:r>
        <w:rPr>
          <w:rFonts w:hint="eastAsia" w:ascii="宋体" w:hAnsi="宋体" w:eastAsia="宋体" w:cs="Times New Roman"/>
          <w:color w:val="auto"/>
          <w:highlight w:val="none"/>
          <w:lang w:val="en-US" w:eastAsia="zh-CN"/>
        </w:rPr>
        <w:t>本行</w:t>
      </w:r>
      <w:r>
        <w:rPr>
          <w:rFonts w:hint="eastAsia" w:ascii="宋体" w:hAnsi="宋体" w:eastAsia="宋体" w:cs="Times New Roman"/>
          <w:color w:val="auto"/>
          <w:highlight w:val="none"/>
        </w:rPr>
        <w:t>经营管理情况的相关资料或就有关问题作出说明；</w:t>
      </w:r>
      <w:r>
        <w:rPr>
          <w:rFonts w:hint="eastAsia" w:ascii="宋体" w:hAnsi="宋体" w:eastAsia="宋体" w:cs="Times New Roman"/>
          <w:color w:val="auto"/>
          <w:highlight w:val="none"/>
        </w:rPr>
        <w:br w:type="textWrapping"/>
      </w:r>
      <w:r>
        <w:rPr>
          <w:rFonts w:hint="eastAsia" w:ascii="宋体" w:hAnsi="宋体" w:eastAsia="宋体" w:cs="Times New Roman"/>
          <w:color w:val="auto"/>
          <w:highlight w:val="none"/>
          <w:lang w:val="en-US" w:eastAsia="zh-CN"/>
        </w:rPr>
        <w:t xml:space="preserve">    </w:t>
      </w:r>
      <w:r>
        <w:rPr>
          <w:rFonts w:hint="eastAsia" w:ascii="宋体" w:hAnsi="宋体" w:eastAsia="宋体" w:cs="Times New Roman"/>
          <w:color w:val="auto"/>
          <w:highlight w:val="none"/>
        </w:rPr>
        <w:t>（二）按时参加董事会会议，对董事会审议事项进行充分审查，独立、专业、客观地发表意见，在审慎判断的基础上独立作出表决；</w:t>
      </w:r>
      <w:r>
        <w:rPr>
          <w:rFonts w:hint="eastAsia" w:ascii="宋体" w:hAnsi="宋体" w:eastAsia="宋体" w:cs="Times New Roman"/>
          <w:color w:val="auto"/>
          <w:highlight w:val="none"/>
        </w:rPr>
        <w:br w:type="textWrapping"/>
      </w:r>
      <w:r>
        <w:rPr>
          <w:rFonts w:hint="eastAsia" w:ascii="宋体" w:hAnsi="宋体" w:eastAsia="宋体" w:cs="Times New Roman"/>
          <w:color w:val="auto"/>
          <w:highlight w:val="none"/>
        </w:rPr>
        <w:t>　　（三）对董事会决议承担责任；</w:t>
      </w:r>
      <w:r>
        <w:rPr>
          <w:rFonts w:hint="eastAsia" w:ascii="宋体" w:hAnsi="宋体" w:eastAsia="宋体" w:cs="Times New Roman"/>
          <w:color w:val="auto"/>
          <w:highlight w:val="none"/>
        </w:rPr>
        <w:br w:type="textWrapping"/>
      </w:r>
      <w:r>
        <w:rPr>
          <w:rFonts w:hint="eastAsia" w:ascii="宋体" w:hAnsi="宋体" w:eastAsia="宋体" w:cs="Times New Roman"/>
          <w:color w:val="auto"/>
          <w:highlight w:val="none"/>
        </w:rPr>
        <w:t>　　（四）对高级管理层执行股东</w:t>
      </w:r>
      <w:r>
        <w:rPr>
          <w:rFonts w:hint="eastAsia" w:ascii="宋体" w:hAnsi="宋体" w:eastAsia="宋体" w:cs="Times New Roman"/>
          <w:color w:val="auto"/>
          <w:highlight w:val="none"/>
          <w:lang w:val="en-US" w:eastAsia="zh-CN"/>
        </w:rPr>
        <w:t>决定</w:t>
      </w:r>
      <w:r>
        <w:rPr>
          <w:rFonts w:hint="eastAsia" w:ascii="宋体" w:hAnsi="宋体" w:eastAsia="宋体" w:cs="Times New Roman"/>
          <w:color w:val="auto"/>
          <w:highlight w:val="none"/>
        </w:rPr>
        <w:t>、董事会决议情况进行监督；</w:t>
      </w:r>
      <w:r>
        <w:rPr>
          <w:rFonts w:hint="eastAsia" w:ascii="宋体" w:hAnsi="宋体" w:eastAsia="宋体" w:cs="Times New Roman"/>
          <w:color w:val="auto"/>
          <w:highlight w:val="none"/>
        </w:rPr>
        <w:br w:type="textWrapping"/>
      </w:r>
      <w:r>
        <w:rPr>
          <w:rFonts w:hint="eastAsia" w:ascii="宋体" w:hAnsi="宋体" w:eastAsia="宋体" w:cs="Times New Roman"/>
          <w:color w:val="auto"/>
          <w:highlight w:val="none"/>
        </w:rPr>
        <w:t>　　（五）积极参加</w:t>
      </w:r>
      <w:r>
        <w:rPr>
          <w:rFonts w:hint="eastAsia" w:ascii="宋体" w:hAnsi="宋体" w:eastAsia="宋体" w:cs="Times New Roman"/>
          <w:color w:val="auto"/>
          <w:highlight w:val="none"/>
          <w:lang w:val="en-US" w:eastAsia="zh-CN"/>
        </w:rPr>
        <w:t>本行</w:t>
      </w:r>
      <w:r>
        <w:rPr>
          <w:rFonts w:hint="eastAsia" w:ascii="宋体" w:hAnsi="宋体" w:eastAsia="宋体" w:cs="Times New Roman"/>
          <w:color w:val="auto"/>
          <w:highlight w:val="none"/>
        </w:rPr>
        <w:t>和监管机构等组织的培训，了解董事的权利和义务，熟悉有关法律法规及监管规定，持续具备履行职责所需的专业知识和能力；</w:t>
      </w:r>
      <w:r>
        <w:rPr>
          <w:rFonts w:hint="eastAsia" w:ascii="宋体" w:hAnsi="宋体" w:eastAsia="宋体" w:cs="Times New Roman"/>
          <w:color w:val="auto"/>
          <w:highlight w:val="none"/>
        </w:rPr>
        <w:br w:type="textWrapping"/>
      </w:r>
      <w:r>
        <w:rPr>
          <w:rFonts w:hint="eastAsia" w:ascii="宋体" w:hAnsi="宋体" w:eastAsia="宋体" w:cs="Times New Roman"/>
          <w:color w:val="auto"/>
          <w:highlight w:val="none"/>
        </w:rPr>
        <w:t>　　（六）在履行职责时，对</w:t>
      </w:r>
      <w:r>
        <w:rPr>
          <w:rFonts w:hint="eastAsia" w:ascii="宋体" w:hAnsi="宋体" w:eastAsia="宋体" w:cs="Times New Roman"/>
          <w:color w:val="auto"/>
          <w:highlight w:val="none"/>
          <w:lang w:val="en-US" w:eastAsia="zh-CN"/>
        </w:rPr>
        <w:t>本行</w:t>
      </w:r>
      <w:r>
        <w:rPr>
          <w:rFonts w:hint="eastAsia" w:ascii="宋体" w:hAnsi="宋体" w:eastAsia="宋体" w:cs="Times New Roman"/>
          <w:color w:val="auto"/>
          <w:highlight w:val="none"/>
        </w:rPr>
        <w:t>和股东负责，公平对待股东；</w:t>
      </w:r>
      <w:r>
        <w:rPr>
          <w:rFonts w:hint="eastAsia" w:ascii="宋体" w:hAnsi="宋体" w:eastAsia="宋体" w:cs="Times New Roman"/>
          <w:color w:val="auto"/>
          <w:highlight w:val="none"/>
        </w:rPr>
        <w:br w:type="textWrapping"/>
      </w:r>
      <w:r>
        <w:rPr>
          <w:rFonts w:hint="eastAsia" w:ascii="宋体" w:hAnsi="宋体" w:eastAsia="宋体" w:cs="Times New Roman"/>
          <w:color w:val="auto"/>
          <w:highlight w:val="none"/>
        </w:rPr>
        <w:t>　　（七）执行高标准的职业道德准则，并考虑利益相关者的合法权益；</w:t>
      </w:r>
      <w:r>
        <w:rPr>
          <w:rFonts w:hint="eastAsia" w:ascii="宋体" w:hAnsi="宋体" w:eastAsia="宋体" w:cs="Times New Roman"/>
          <w:color w:val="auto"/>
          <w:highlight w:val="none"/>
        </w:rPr>
        <w:br w:type="textWrapping"/>
      </w:r>
      <w:r>
        <w:rPr>
          <w:rFonts w:hint="eastAsia" w:ascii="宋体" w:hAnsi="宋体" w:eastAsia="宋体" w:cs="Times New Roman"/>
          <w:color w:val="auto"/>
          <w:highlight w:val="none"/>
        </w:rPr>
        <w:t>　　（八）对</w:t>
      </w:r>
      <w:r>
        <w:rPr>
          <w:rFonts w:hint="eastAsia" w:ascii="宋体" w:hAnsi="宋体" w:eastAsia="宋体" w:cs="Times New Roman"/>
          <w:color w:val="auto"/>
          <w:highlight w:val="none"/>
          <w:lang w:val="en-US" w:eastAsia="zh-CN"/>
        </w:rPr>
        <w:t>本行</w:t>
      </w:r>
      <w:r>
        <w:rPr>
          <w:rFonts w:hint="eastAsia" w:ascii="宋体" w:hAnsi="宋体" w:eastAsia="宋体" w:cs="Times New Roman"/>
          <w:color w:val="auto"/>
          <w:highlight w:val="none"/>
        </w:rPr>
        <w:t>负有忠实、勤勉义务，尽职、审慎履行职责，并保证有足够的时间和精力履职；</w:t>
      </w:r>
      <w:r>
        <w:rPr>
          <w:rFonts w:hint="eastAsia" w:ascii="宋体" w:hAnsi="宋体" w:eastAsia="宋体" w:cs="Times New Roman"/>
          <w:color w:val="auto"/>
          <w:highlight w:val="none"/>
        </w:rPr>
        <w:br w:type="textWrapping"/>
      </w:r>
      <w:r>
        <w:rPr>
          <w:rFonts w:hint="eastAsia" w:ascii="宋体" w:hAnsi="宋体" w:eastAsia="宋体" w:cs="Times New Roman"/>
          <w:color w:val="auto"/>
          <w:highlight w:val="none"/>
        </w:rPr>
        <w:t>　　（九）遵守法律法规、监管规定和公司章程。</w:t>
      </w:r>
    </w:p>
    <w:p>
      <w:pPr>
        <w:keepNext w:val="0"/>
        <w:keepLines w:val="0"/>
        <w:pageBreakBefore w:val="0"/>
        <w:widowControl/>
        <w:numPr>
          <w:ilvl w:val="0"/>
          <w:numId w:val="3"/>
        </w:numPr>
        <w:kinsoku/>
        <w:wordWrap/>
        <w:overflowPunct/>
        <w:topLinePunct w:val="0"/>
        <w:autoSpaceDE/>
        <w:autoSpaceDN/>
        <w:bidi w:val="0"/>
        <w:adjustRightInd/>
        <w:snapToGrid/>
        <w:ind w:left="0" w:firstLine="425"/>
        <w:textAlignment w:val="auto"/>
        <w:rPr>
          <w:rFonts w:ascii="宋体" w:hAnsi="宋体"/>
          <w:color w:val="auto"/>
        </w:rPr>
      </w:pPr>
      <w:r>
        <w:rPr>
          <w:rFonts w:hint="eastAsia" w:ascii="宋体" w:hAnsi="宋体"/>
          <w:color w:val="auto"/>
        </w:rPr>
        <w:t>未经本章程规定或者董事会的合法授权，任何董事不得以个人名义代表本行或者董事会行事。董事以其个人名义行事时，在第三方会合理地认为该董事在代表本行或者董事会行事的情况下，该董事应当事先声明其立场和个人身份。</w:t>
      </w:r>
    </w:p>
    <w:p>
      <w:pPr>
        <w:numPr>
          <w:ilvl w:val="0"/>
          <w:numId w:val="3"/>
        </w:numPr>
        <w:ind w:left="0" w:firstLine="426"/>
        <w:rPr>
          <w:rFonts w:hint="eastAsia" w:ascii="宋体" w:hAnsi="宋体"/>
          <w:color w:val="auto"/>
        </w:rPr>
      </w:pPr>
      <w:r>
        <w:rPr>
          <w:rFonts w:hint="eastAsia" w:ascii="宋体" w:hAnsi="宋体"/>
          <w:color w:val="auto"/>
        </w:rPr>
        <w:t>董事个人或者其所任职的其他企业直接或者间接与本行已有的或者计划中的合同、交易、安排有关联关系时（聘任合同除外），必须向董事会披露其关联关系的性质和程度。否则，董事会有权撤销该合同、交易或者安排，但对方为善意第三人的情况（在此情况下，董事因此获得的收入和利益应归本行所有，并且董事应当赔偿因此给本行造成的损失）除外。</w:t>
      </w:r>
    </w:p>
    <w:p>
      <w:pPr>
        <w:numPr>
          <w:ilvl w:val="0"/>
          <w:numId w:val="3"/>
        </w:numPr>
        <w:ind w:left="0" w:firstLine="426"/>
        <w:rPr>
          <w:rFonts w:ascii="宋体" w:hAnsi="宋体"/>
          <w:color w:val="auto"/>
        </w:rPr>
      </w:pPr>
      <w:r>
        <w:rPr>
          <w:rFonts w:hint="eastAsia" w:ascii="宋体" w:hAnsi="宋体"/>
          <w:color w:val="auto"/>
        </w:rPr>
        <w:t>董事在履行其关联关系义务时，应将有关情况向董事会做出书面陈述，由董事会依据本章程及有关规定，确定董事在有关交易中是否构成关联董事。</w:t>
      </w:r>
    </w:p>
    <w:p>
      <w:pPr>
        <w:numPr>
          <w:ilvl w:val="0"/>
          <w:numId w:val="3"/>
        </w:numPr>
        <w:ind w:left="0" w:firstLine="426"/>
        <w:rPr>
          <w:rFonts w:ascii="宋体" w:hAnsi="宋体"/>
          <w:color w:val="auto"/>
        </w:rPr>
      </w:pPr>
      <w:r>
        <w:rPr>
          <w:rFonts w:hint="eastAsia" w:ascii="宋体" w:hAnsi="宋体"/>
          <w:color w:val="auto"/>
        </w:rPr>
        <w:t>如果本行董事在本行首次考虑订立有关合同、交易、安排前以书面形式通知董事会，声明由于通知所列的内容，本行日后达成的合同、交易、安排与其有利益关系，则在通知阐明的范围内，视为有关董事做了其关联关系的披露。</w:t>
      </w:r>
    </w:p>
    <w:p>
      <w:pPr>
        <w:numPr>
          <w:ilvl w:val="0"/>
          <w:numId w:val="3"/>
        </w:numPr>
        <w:ind w:left="0" w:firstLine="426"/>
        <w:rPr>
          <w:rFonts w:ascii="宋体" w:hAnsi="宋体"/>
          <w:color w:val="auto"/>
        </w:rPr>
      </w:pPr>
      <w:r>
        <w:rPr>
          <w:rStyle w:val="45"/>
          <w:rFonts w:ascii="宋体" w:hAnsi="宋体" w:eastAsia="宋体" w:cs="宋体"/>
          <w:color w:val="auto"/>
          <w:highlight w:val="none"/>
        </w:rPr>
        <w:t>董事应当每年至少亲自出席三分之二以上的董事会现场会议</w:t>
      </w:r>
      <w:r>
        <w:rPr>
          <w:rFonts w:hint="eastAsia" w:ascii="宋体" w:hAnsi="宋体"/>
          <w:color w:val="auto"/>
          <w:highlight w:val="none"/>
        </w:rPr>
        <w:t>。通过视频或电话的方式参加会议可视为亲自出席。董事连续2次未能亲自出席，也不委托其他董事出席董事会会议，视为不能履行职责，董事会应当提请股东予以撤换。</w:t>
      </w:r>
    </w:p>
    <w:p>
      <w:pPr>
        <w:numPr>
          <w:ilvl w:val="0"/>
          <w:numId w:val="3"/>
        </w:numPr>
        <w:ind w:left="0" w:firstLine="426"/>
        <w:rPr>
          <w:rFonts w:hint="eastAsia" w:ascii="宋体" w:hAnsi="宋体"/>
          <w:color w:val="auto"/>
        </w:rPr>
      </w:pPr>
      <w:r>
        <w:rPr>
          <w:rFonts w:hint="eastAsia" w:ascii="宋体" w:hAnsi="宋体"/>
          <w:color w:val="auto"/>
        </w:rPr>
        <w:t>董事可以在任期届满以前提出辞职。董事辞职应当向董事会提交书面辞职报告。董事会应在3 日内向股东报告有关情况。</w:t>
      </w:r>
    </w:p>
    <w:p>
      <w:pPr>
        <w:ind w:firstLine="562"/>
        <w:rPr>
          <w:rFonts w:hint="eastAsia" w:ascii="宋体" w:hAnsi="宋体"/>
          <w:color w:val="auto"/>
        </w:rPr>
      </w:pPr>
      <w:r>
        <w:rPr>
          <w:rFonts w:hint="eastAsia" w:ascii="宋体" w:hAnsi="宋体"/>
          <w:color w:val="auto"/>
        </w:rPr>
        <w:t>如因董事的辞职导致本行董事会低于法定最低人数时，在改派出的董事就任前，该董事仍应当依照法律、行政法规、监管规定和本章程规定，履行董事职务。该董事的辞职报告应当在下任董事填补因其辞职产生的缺额后方能生效。</w:t>
      </w:r>
    </w:p>
    <w:p>
      <w:pPr>
        <w:ind w:firstLine="562"/>
        <w:rPr>
          <w:rFonts w:hint="eastAsia" w:ascii="宋体" w:hAnsi="宋体"/>
          <w:color w:val="auto"/>
        </w:rPr>
      </w:pPr>
      <w:r>
        <w:rPr>
          <w:rFonts w:hint="eastAsia" w:ascii="宋体" w:hAnsi="宋体"/>
          <w:color w:val="auto"/>
        </w:rPr>
        <w:t>除前款所列情形外，董事辞职自辞职报告送达董事会时生效。</w:t>
      </w:r>
    </w:p>
    <w:p>
      <w:pPr>
        <w:numPr>
          <w:ilvl w:val="0"/>
          <w:numId w:val="3"/>
        </w:numPr>
        <w:ind w:left="0" w:firstLine="426"/>
        <w:rPr>
          <w:rFonts w:ascii="宋体" w:hAnsi="宋体"/>
          <w:color w:val="auto"/>
        </w:rPr>
      </w:pPr>
      <w:r>
        <w:rPr>
          <w:rFonts w:hint="eastAsia" w:ascii="宋体" w:hAnsi="宋体"/>
          <w:color w:val="auto"/>
        </w:rPr>
        <w:t>董事提出辞职或者任期届满，应向董事会办妥所有移交手续，其对本行和股东负有的义务在其辞职报告尚未生效或者生效后的合理期间内，以及任期结束后的合理期间内并不当然解除，其对本行商业秘密保密的义务在其任职结束后仍然有效，直至该秘密成为公开信息。其他义务的持续期间应当根据公平合理的原则决定，视事件发生与离任之间时间的长短以及与本行的关系在何种情况和条件下结束而定。</w:t>
      </w:r>
    </w:p>
    <w:p>
      <w:pPr>
        <w:numPr>
          <w:ilvl w:val="0"/>
          <w:numId w:val="3"/>
        </w:numPr>
        <w:ind w:left="0" w:firstLine="426"/>
        <w:rPr>
          <w:rFonts w:ascii="宋体" w:hAnsi="宋体"/>
          <w:color w:val="auto"/>
        </w:rPr>
      </w:pPr>
      <w:r>
        <w:rPr>
          <w:rFonts w:hint="eastAsia" w:ascii="宋体" w:hAnsi="宋体"/>
          <w:color w:val="auto"/>
        </w:rPr>
        <w:t>董事对其在董事的职责和权限范围内从事的正常职务活动不承担个人责任。公司应根据适用的法律、行政法规、监管规定为其提供免责保护，最大限度地保障其免受任何针对其个人的索赔或指控，但董事有违法违规、重大过失行为、欺诈行为或严重失职的情况除外。</w:t>
      </w:r>
    </w:p>
    <w:p>
      <w:pPr>
        <w:numPr>
          <w:ilvl w:val="0"/>
          <w:numId w:val="3"/>
        </w:numPr>
        <w:ind w:left="0" w:firstLine="426"/>
        <w:rPr>
          <w:rFonts w:ascii="宋体" w:hAnsi="宋体"/>
          <w:color w:val="auto"/>
        </w:rPr>
      </w:pPr>
      <w:r>
        <w:rPr>
          <w:rFonts w:hint="eastAsia" w:ascii="宋体" w:hAnsi="宋体"/>
          <w:color w:val="auto"/>
        </w:rPr>
        <w:t>董事执行本行职务时违反法律、行政法规、监管规定或本章程的规定，或任职尚未结束的董事擅自离职，给本行造成损失的，应当承担赔偿责任。</w:t>
      </w:r>
    </w:p>
    <w:p>
      <w:pPr>
        <w:numPr>
          <w:ilvl w:val="0"/>
          <w:numId w:val="3"/>
        </w:numPr>
        <w:ind w:left="0" w:firstLine="426"/>
        <w:rPr>
          <w:rFonts w:ascii="宋体" w:hAnsi="宋体"/>
          <w:color w:val="auto"/>
        </w:rPr>
      </w:pPr>
      <w:r>
        <w:rPr>
          <w:rFonts w:hint="eastAsia" w:ascii="宋体" w:hAnsi="宋体"/>
          <w:color w:val="auto"/>
        </w:rPr>
        <w:t>本节有关董事义务的规定以及第</w:t>
      </w:r>
      <w:r>
        <w:rPr>
          <w:rFonts w:hint="eastAsia" w:ascii="宋体" w:hAnsi="宋体"/>
          <w:color w:val="auto"/>
          <w:lang w:val="en-US" w:eastAsia="zh-CN"/>
        </w:rPr>
        <w:t>五十</w:t>
      </w:r>
      <w:r>
        <w:rPr>
          <w:rFonts w:hint="eastAsia" w:ascii="宋体" w:hAnsi="宋体"/>
          <w:color w:val="auto"/>
        </w:rPr>
        <w:t>条、第五十</w:t>
      </w:r>
      <w:r>
        <w:rPr>
          <w:rFonts w:hint="eastAsia" w:ascii="宋体" w:hAnsi="宋体"/>
          <w:color w:val="auto"/>
          <w:lang w:val="en-US" w:eastAsia="zh-CN"/>
        </w:rPr>
        <w:t>一</w:t>
      </w:r>
      <w:r>
        <w:rPr>
          <w:rFonts w:hint="eastAsia" w:ascii="宋体" w:hAnsi="宋体"/>
          <w:color w:val="auto"/>
        </w:rPr>
        <w:t>条的规定，适用于本行监事和高级管理人员。</w:t>
      </w:r>
    </w:p>
    <w:p>
      <w:pPr>
        <w:ind w:firstLine="562"/>
        <w:rPr>
          <w:rFonts w:ascii="宋体" w:hAnsi="宋体"/>
          <w:color w:val="auto"/>
        </w:rPr>
      </w:pPr>
    </w:p>
    <w:p>
      <w:pPr>
        <w:jc w:val="center"/>
        <w:rPr>
          <w:rFonts w:ascii="宋体" w:hAnsi="宋体"/>
          <w:color w:val="auto"/>
        </w:rPr>
      </w:pPr>
      <w:r>
        <w:rPr>
          <w:rFonts w:hint="eastAsia" w:ascii="宋体" w:hAnsi="宋体"/>
          <w:color w:val="auto"/>
        </w:rPr>
        <w:t>第二节 董事会</w:t>
      </w:r>
    </w:p>
    <w:p>
      <w:pPr>
        <w:numPr>
          <w:ilvl w:val="0"/>
          <w:numId w:val="3"/>
        </w:numPr>
        <w:ind w:left="0" w:firstLine="426"/>
        <w:rPr>
          <w:rFonts w:ascii="宋体" w:hAnsi="宋体"/>
          <w:color w:val="auto"/>
        </w:rPr>
      </w:pPr>
      <w:r>
        <w:rPr>
          <w:rFonts w:hint="eastAsia" w:ascii="宋体" w:hAnsi="宋体"/>
          <w:color w:val="auto"/>
        </w:rPr>
        <w:t>本行设董事会，对股东负责。董事会是股东决定的执行机构和本行的经营决策机构。</w:t>
      </w:r>
    </w:p>
    <w:p>
      <w:pPr>
        <w:numPr>
          <w:ilvl w:val="0"/>
          <w:numId w:val="3"/>
        </w:numPr>
        <w:ind w:left="0" w:firstLine="426"/>
        <w:rPr>
          <w:rFonts w:hint="eastAsia" w:ascii="宋体" w:hAnsi="宋体"/>
          <w:color w:val="auto"/>
        </w:rPr>
      </w:pPr>
      <w:r>
        <w:rPr>
          <w:rFonts w:hint="eastAsia" w:ascii="宋体" w:hAnsi="宋体"/>
          <w:color w:val="auto"/>
        </w:rPr>
        <w:t>本行董事会由3名董事组成，均由股东</w:t>
      </w:r>
      <w:r>
        <w:rPr>
          <w:rFonts w:ascii="宋体" w:hAnsi="宋体"/>
          <w:color w:val="auto"/>
        </w:rPr>
        <w:t>委派</w:t>
      </w:r>
      <w:r>
        <w:rPr>
          <w:rFonts w:hint="eastAsia" w:ascii="宋体" w:hAnsi="宋体"/>
          <w:color w:val="auto"/>
        </w:rPr>
        <w:t>产生。董事会成员的结构应当符合法律、行政法规及银行业监督管理机构等有权主管机关的规定。</w:t>
      </w:r>
    </w:p>
    <w:p>
      <w:pPr>
        <w:ind w:firstLine="480" w:firstLineChars="200"/>
        <w:rPr>
          <w:rFonts w:ascii="宋体" w:hAnsi="宋体"/>
          <w:color w:val="auto"/>
        </w:rPr>
      </w:pPr>
      <w:r>
        <w:rPr>
          <w:rFonts w:hint="eastAsia" w:ascii="宋体" w:hAnsi="宋体"/>
          <w:color w:val="auto"/>
        </w:rPr>
        <w:t>本行董事会设董事长1名。董事长由本行董事担任，以全体董事的过半数选举产生和罢免，其任职资格须经银行业监督管理机构审核。董事长每届任期3年，可以连选连任，离任时须进行离任审计。</w:t>
      </w:r>
    </w:p>
    <w:p>
      <w:pPr>
        <w:numPr>
          <w:ilvl w:val="0"/>
          <w:numId w:val="3"/>
        </w:numPr>
        <w:ind w:left="0" w:firstLine="426"/>
        <w:rPr>
          <w:rFonts w:hint="eastAsia" w:ascii="宋体" w:hAnsi="宋体"/>
          <w:color w:val="auto"/>
        </w:rPr>
      </w:pPr>
      <w:r>
        <w:rPr>
          <w:rFonts w:hint="eastAsia" w:ascii="宋体" w:hAnsi="宋体"/>
          <w:color w:val="auto"/>
        </w:rPr>
        <w:t>董事会行使下列职权：</w:t>
      </w:r>
    </w:p>
    <w:p>
      <w:pPr>
        <w:ind w:firstLine="480" w:firstLineChars="200"/>
        <w:rPr>
          <w:rFonts w:hint="eastAsia" w:ascii="宋体" w:hAnsi="宋体"/>
          <w:color w:val="auto"/>
        </w:rPr>
      </w:pPr>
      <w:r>
        <w:rPr>
          <w:rFonts w:hint="eastAsia" w:ascii="宋体" w:hAnsi="宋体"/>
          <w:color w:val="auto"/>
        </w:rPr>
        <w:t>（一）向股东报告工作；</w:t>
      </w:r>
    </w:p>
    <w:p>
      <w:pPr>
        <w:ind w:firstLine="480" w:firstLineChars="200"/>
        <w:rPr>
          <w:rFonts w:hint="eastAsia" w:ascii="宋体" w:hAnsi="宋体"/>
          <w:color w:val="auto"/>
        </w:rPr>
      </w:pPr>
      <w:r>
        <w:rPr>
          <w:rFonts w:hint="eastAsia" w:ascii="宋体" w:hAnsi="宋体"/>
          <w:color w:val="auto"/>
        </w:rPr>
        <w:t>（二）执行股东决定；</w:t>
      </w:r>
    </w:p>
    <w:p>
      <w:pPr>
        <w:ind w:firstLine="480" w:firstLineChars="200"/>
        <w:rPr>
          <w:rFonts w:hint="eastAsia" w:ascii="宋体" w:hAnsi="宋体"/>
          <w:color w:val="auto"/>
          <w:highlight w:val="none"/>
        </w:rPr>
      </w:pPr>
      <w:r>
        <w:rPr>
          <w:rFonts w:hint="eastAsia" w:ascii="宋体" w:hAnsi="宋体"/>
          <w:color w:val="auto"/>
          <w:highlight w:val="none"/>
        </w:rPr>
        <w:t>（三）决定本行的经营计划、投资方案；</w:t>
      </w:r>
    </w:p>
    <w:p>
      <w:pPr>
        <w:ind w:firstLine="480" w:firstLineChars="200"/>
        <w:rPr>
          <w:rFonts w:hint="eastAsia" w:ascii="宋体" w:hAnsi="宋体"/>
          <w:color w:val="auto"/>
          <w:highlight w:val="none"/>
        </w:rPr>
      </w:pPr>
      <w:r>
        <w:rPr>
          <w:rFonts w:hint="eastAsia" w:ascii="宋体" w:hAnsi="宋体"/>
          <w:color w:val="auto"/>
          <w:highlight w:val="none"/>
        </w:rPr>
        <w:t>（四）制订本行的年度财务预算方案、决算方案；</w:t>
      </w:r>
    </w:p>
    <w:p>
      <w:pPr>
        <w:ind w:firstLine="48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五</w:t>
      </w:r>
      <w:r>
        <w:rPr>
          <w:rFonts w:hint="eastAsia" w:ascii="宋体" w:hAnsi="宋体"/>
          <w:color w:val="auto"/>
          <w:highlight w:val="none"/>
        </w:rPr>
        <w:t>）制订本行的利润分配方案和弥补亏损方案；</w:t>
      </w:r>
    </w:p>
    <w:p>
      <w:pPr>
        <w:ind w:firstLine="48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六</w:t>
      </w:r>
      <w:r>
        <w:rPr>
          <w:rFonts w:hint="eastAsia" w:ascii="宋体" w:hAnsi="宋体"/>
          <w:color w:val="auto"/>
          <w:highlight w:val="none"/>
        </w:rPr>
        <w:t>）制订本行增加或者减少注册资本及发行公司债券的方案；</w:t>
      </w:r>
    </w:p>
    <w:p>
      <w:pPr>
        <w:ind w:firstLine="48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七</w:t>
      </w:r>
      <w:r>
        <w:rPr>
          <w:rFonts w:hint="eastAsia" w:ascii="宋体" w:hAnsi="宋体"/>
          <w:color w:val="auto"/>
          <w:highlight w:val="none"/>
        </w:rPr>
        <w:t>）制订本行合并、分立、解散或者变更公司形式的方案；</w:t>
      </w:r>
    </w:p>
    <w:p>
      <w:pPr>
        <w:ind w:firstLine="48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八</w:t>
      </w:r>
      <w:r>
        <w:rPr>
          <w:rFonts w:hint="eastAsia" w:ascii="宋体" w:hAnsi="宋体"/>
          <w:color w:val="auto"/>
          <w:highlight w:val="none"/>
        </w:rPr>
        <w:t>）决定本行内部管理机构的设置；</w:t>
      </w:r>
    </w:p>
    <w:p>
      <w:pPr>
        <w:ind w:firstLine="48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九</w:t>
      </w:r>
      <w:r>
        <w:rPr>
          <w:rFonts w:hint="eastAsia" w:ascii="宋体" w:hAnsi="宋体"/>
          <w:color w:val="auto"/>
          <w:highlight w:val="none"/>
        </w:rPr>
        <w:t>）决定分支机构的设置；</w:t>
      </w:r>
    </w:p>
    <w:p>
      <w:pPr>
        <w:ind w:firstLine="48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十</w:t>
      </w:r>
      <w:r>
        <w:rPr>
          <w:rFonts w:hint="eastAsia" w:ascii="宋体" w:hAnsi="宋体"/>
          <w:color w:val="auto"/>
          <w:highlight w:val="none"/>
        </w:rPr>
        <w:t>）聘任或者解聘本行行长；根据行长的提名，聘任或者解聘本行副行长等高级管理人员，并决定其报酬事项和奖惩事项；</w:t>
      </w:r>
    </w:p>
    <w:p>
      <w:pPr>
        <w:ind w:firstLine="480" w:firstLineChars="200"/>
        <w:rPr>
          <w:rFonts w:hint="eastAsia" w:ascii="宋体" w:hAnsi="宋体"/>
          <w:color w:val="auto"/>
          <w:highlight w:val="none"/>
        </w:rPr>
      </w:pPr>
      <w:r>
        <w:rPr>
          <w:rFonts w:hint="eastAsia" w:ascii="宋体" w:hAnsi="宋体"/>
          <w:color w:val="auto"/>
          <w:highlight w:val="none"/>
        </w:rPr>
        <w:t>（十</w:t>
      </w:r>
      <w:r>
        <w:rPr>
          <w:rFonts w:hint="eastAsia" w:ascii="宋体" w:hAnsi="宋体"/>
          <w:color w:val="auto"/>
          <w:highlight w:val="none"/>
          <w:lang w:val="en-US" w:eastAsia="zh-CN"/>
        </w:rPr>
        <w:t>一</w:t>
      </w:r>
      <w:r>
        <w:rPr>
          <w:rFonts w:hint="eastAsia" w:ascii="宋体" w:hAnsi="宋体"/>
          <w:color w:val="auto"/>
          <w:highlight w:val="none"/>
        </w:rPr>
        <w:t>）审定本行的基本管理制度，</w:t>
      </w:r>
      <w:r>
        <w:rPr>
          <w:rFonts w:ascii="宋体" w:hAnsi="宋体"/>
          <w:color w:val="auto"/>
          <w:highlight w:val="none"/>
        </w:rPr>
        <w:t>审定本行的洗钱风险管理和合规政策、策略</w:t>
      </w:r>
      <w:r>
        <w:rPr>
          <w:rFonts w:hint="eastAsia" w:ascii="宋体" w:hAnsi="宋体"/>
          <w:color w:val="auto"/>
          <w:highlight w:val="none"/>
        </w:rPr>
        <w:t>；</w:t>
      </w:r>
    </w:p>
    <w:p>
      <w:pPr>
        <w:ind w:firstLine="480" w:firstLineChars="200"/>
        <w:rPr>
          <w:rFonts w:hint="eastAsia" w:ascii="宋体" w:hAnsi="宋体"/>
          <w:color w:val="auto"/>
          <w:highlight w:val="none"/>
        </w:rPr>
      </w:pPr>
      <w:r>
        <w:rPr>
          <w:rStyle w:val="45"/>
          <w:rFonts w:hint="eastAsia" w:ascii="宋体" w:hAnsi="宋体" w:eastAsia="宋体" w:cs="宋体"/>
          <w:color w:val="auto"/>
          <w:highlight w:val="none"/>
          <w:lang w:eastAsia="zh-CN"/>
        </w:rPr>
        <w:t>（</w:t>
      </w:r>
      <w:r>
        <w:rPr>
          <w:rStyle w:val="45"/>
          <w:rFonts w:hint="eastAsia" w:ascii="宋体" w:hAnsi="宋体" w:eastAsia="宋体" w:cs="宋体"/>
          <w:color w:val="auto"/>
          <w:highlight w:val="none"/>
          <w:lang w:val="en-US" w:eastAsia="zh-CN"/>
        </w:rPr>
        <w:t>十二</w:t>
      </w:r>
      <w:r>
        <w:rPr>
          <w:rStyle w:val="45"/>
          <w:rFonts w:hint="eastAsia" w:ascii="宋体" w:hAnsi="宋体" w:eastAsia="宋体" w:cs="宋体"/>
          <w:color w:val="auto"/>
          <w:highlight w:val="none"/>
          <w:lang w:eastAsia="zh-CN"/>
        </w:rPr>
        <w:t>）</w:t>
      </w:r>
      <w:r>
        <w:rPr>
          <w:rStyle w:val="45"/>
          <w:rFonts w:ascii="宋体" w:hAnsi="宋体" w:eastAsia="宋体" w:cs="宋体"/>
          <w:color w:val="auto"/>
          <w:highlight w:val="none"/>
        </w:rPr>
        <w:t>依照法律法规、监管规定及公司章程，审议批准</w:t>
      </w:r>
      <w:r>
        <w:rPr>
          <w:rStyle w:val="45"/>
          <w:rFonts w:hint="eastAsia" w:ascii="宋体" w:hAnsi="宋体" w:eastAsia="宋体" w:cs="宋体"/>
          <w:color w:val="auto"/>
          <w:highlight w:val="none"/>
          <w:lang w:val="en-US" w:eastAsia="zh-CN"/>
        </w:rPr>
        <w:t>本行</w:t>
      </w:r>
      <w:r>
        <w:rPr>
          <w:rStyle w:val="45"/>
          <w:rFonts w:ascii="宋体" w:hAnsi="宋体" w:eastAsia="宋体" w:cs="宋体"/>
          <w:color w:val="auto"/>
          <w:highlight w:val="none"/>
        </w:rPr>
        <w:t>对外投资、资产购置、资产处置与核销、资产抵押、关联交易、数据治理等事项；</w:t>
      </w:r>
    </w:p>
    <w:p>
      <w:pPr>
        <w:numPr>
          <w:ilvl w:val="0"/>
          <w:numId w:val="0"/>
        </w:numPr>
        <w:ind w:firstLine="480" w:firstLineChars="200"/>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十三</w:t>
      </w:r>
      <w:r>
        <w:rPr>
          <w:rFonts w:hint="eastAsia" w:ascii="宋体" w:hAnsi="宋体"/>
          <w:color w:val="auto"/>
          <w:highlight w:val="none"/>
          <w:lang w:eastAsia="zh-CN"/>
        </w:rPr>
        <w:t>）</w:t>
      </w:r>
      <w:r>
        <w:rPr>
          <w:rFonts w:hint="eastAsia" w:ascii="宋体" w:hAnsi="宋体"/>
          <w:color w:val="auto"/>
          <w:highlight w:val="none"/>
        </w:rPr>
        <w:t>制订本章程的修改方案；</w:t>
      </w:r>
    </w:p>
    <w:p>
      <w:pPr>
        <w:numPr>
          <w:ilvl w:val="0"/>
          <w:numId w:val="0"/>
        </w:numPr>
        <w:ind w:firstLine="480" w:firstLineChars="200"/>
        <w:rPr>
          <w:rStyle w:val="45"/>
          <w:rFonts w:ascii="宋体" w:hAnsi="宋体" w:eastAsia="宋体" w:cs="宋体"/>
          <w:color w:val="auto"/>
          <w:highlight w:val="none"/>
        </w:rPr>
      </w:pPr>
      <w:r>
        <w:rPr>
          <w:rStyle w:val="45"/>
          <w:rFonts w:hint="eastAsia" w:ascii="宋体" w:hAnsi="宋体" w:eastAsia="宋体" w:cs="宋体"/>
          <w:color w:val="auto"/>
          <w:highlight w:val="none"/>
          <w:lang w:eastAsia="zh-CN"/>
        </w:rPr>
        <w:t>（</w:t>
      </w:r>
      <w:r>
        <w:rPr>
          <w:rStyle w:val="45"/>
          <w:rFonts w:hint="eastAsia" w:ascii="宋体" w:hAnsi="宋体" w:eastAsia="宋体" w:cs="宋体"/>
          <w:color w:val="auto"/>
          <w:highlight w:val="none"/>
          <w:lang w:val="en-US" w:eastAsia="zh-CN"/>
        </w:rPr>
        <w:t>十四</w:t>
      </w:r>
      <w:r>
        <w:rPr>
          <w:rStyle w:val="45"/>
          <w:rFonts w:hint="eastAsia" w:ascii="宋体" w:hAnsi="宋体" w:eastAsia="宋体" w:cs="宋体"/>
          <w:color w:val="auto"/>
          <w:highlight w:val="none"/>
          <w:lang w:eastAsia="zh-CN"/>
        </w:rPr>
        <w:t>）</w:t>
      </w:r>
      <w:r>
        <w:rPr>
          <w:rStyle w:val="45"/>
          <w:rFonts w:ascii="宋体" w:hAnsi="宋体" w:eastAsia="宋体" w:cs="宋体"/>
          <w:color w:val="auto"/>
          <w:highlight w:val="none"/>
        </w:rPr>
        <w:t>制定</w:t>
      </w:r>
      <w:r>
        <w:rPr>
          <w:rStyle w:val="45"/>
          <w:rFonts w:hint="eastAsia" w:ascii="宋体" w:hAnsi="宋体" w:eastAsia="宋体" w:cs="宋体"/>
          <w:color w:val="auto"/>
          <w:highlight w:val="none"/>
          <w:lang w:val="en-US" w:eastAsia="zh-CN"/>
        </w:rPr>
        <w:t>本行</w:t>
      </w:r>
      <w:r>
        <w:rPr>
          <w:rStyle w:val="45"/>
          <w:rFonts w:ascii="宋体" w:hAnsi="宋体" w:eastAsia="宋体" w:cs="宋体"/>
          <w:color w:val="auto"/>
          <w:highlight w:val="none"/>
        </w:rPr>
        <w:t>发展战略并监督战略实施；</w:t>
      </w:r>
    </w:p>
    <w:p>
      <w:pPr>
        <w:numPr>
          <w:ilvl w:val="0"/>
          <w:numId w:val="0"/>
        </w:numPr>
        <w:ind w:firstLine="480" w:firstLineChars="200"/>
        <w:rPr>
          <w:rStyle w:val="45"/>
          <w:rFonts w:hint="eastAsia" w:ascii="宋体" w:hAnsi="宋体" w:eastAsia="宋体" w:cs="宋体"/>
          <w:color w:val="auto"/>
          <w:highlight w:val="none"/>
        </w:rPr>
      </w:pPr>
      <w:r>
        <w:rPr>
          <w:rStyle w:val="45"/>
          <w:rFonts w:hint="eastAsia" w:ascii="宋体" w:hAnsi="宋体" w:eastAsia="宋体" w:cs="宋体"/>
          <w:color w:val="auto"/>
          <w:highlight w:val="none"/>
          <w:lang w:eastAsia="zh-CN"/>
        </w:rPr>
        <w:t>（</w:t>
      </w:r>
      <w:r>
        <w:rPr>
          <w:rStyle w:val="45"/>
          <w:rFonts w:hint="eastAsia" w:ascii="宋体" w:hAnsi="宋体" w:eastAsia="宋体" w:cs="宋体"/>
          <w:color w:val="auto"/>
          <w:highlight w:val="none"/>
          <w:lang w:val="en-US" w:eastAsia="zh-CN"/>
        </w:rPr>
        <w:t>十五</w:t>
      </w:r>
      <w:r>
        <w:rPr>
          <w:rStyle w:val="45"/>
          <w:rFonts w:hint="eastAsia" w:ascii="宋体" w:hAnsi="宋体" w:eastAsia="宋体" w:cs="宋体"/>
          <w:color w:val="auto"/>
          <w:highlight w:val="none"/>
          <w:lang w:eastAsia="zh-CN"/>
        </w:rPr>
        <w:t>）</w:t>
      </w:r>
      <w:r>
        <w:rPr>
          <w:rStyle w:val="45"/>
          <w:rFonts w:ascii="宋体" w:hAnsi="宋体" w:eastAsia="宋体" w:cs="宋体"/>
          <w:color w:val="auto"/>
          <w:highlight w:val="none"/>
        </w:rPr>
        <w:t>制定</w:t>
      </w:r>
      <w:r>
        <w:rPr>
          <w:rStyle w:val="45"/>
          <w:rFonts w:hint="eastAsia" w:ascii="宋体" w:hAnsi="宋体" w:eastAsia="宋体" w:cs="宋体"/>
          <w:color w:val="auto"/>
          <w:highlight w:val="none"/>
          <w:lang w:val="en-US" w:eastAsia="zh-CN"/>
        </w:rPr>
        <w:t>本行</w:t>
      </w:r>
      <w:r>
        <w:rPr>
          <w:rStyle w:val="45"/>
          <w:rFonts w:ascii="宋体" w:hAnsi="宋体" w:eastAsia="宋体" w:cs="宋体"/>
          <w:color w:val="auto"/>
          <w:highlight w:val="none"/>
        </w:rPr>
        <w:t>资本规划，承担资本或偿付能力管理最终责任；</w:t>
      </w:r>
    </w:p>
    <w:p>
      <w:pPr>
        <w:numPr>
          <w:ilvl w:val="0"/>
          <w:numId w:val="0"/>
        </w:numPr>
        <w:ind w:leftChars="200"/>
        <w:rPr>
          <w:rStyle w:val="45"/>
          <w:rFonts w:ascii="宋体" w:hAnsi="宋体" w:eastAsia="宋体" w:cs="宋体"/>
          <w:color w:val="auto"/>
          <w:highlight w:val="none"/>
        </w:rPr>
      </w:pPr>
      <w:r>
        <w:rPr>
          <w:rStyle w:val="45"/>
          <w:rFonts w:hint="eastAsia" w:ascii="宋体" w:hAnsi="宋体" w:eastAsia="宋体" w:cs="宋体"/>
          <w:color w:val="auto"/>
          <w:highlight w:val="none"/>
          <w:lang w:eastAsia="zh-CN"/>
        </w:rPr>
        <w:t>（</w:t>
      </w:r>
      <w:r>
        <w:rPr>
          <w:rStyle w:val="45"/>
          <w:rFonts w:hint="eastAsia" w:ascii="宋体" w:hAnsi="宋体" w:eastAsia="宋体" w:cs="宋体"/>
          <w:color w:val="auto"/>
          <w:highlight w:val="none"/>
          <w:lang w:val="en-US" w:eastAsia="zh-CN"/>
        </w:rPr>
        <w:t>十六</w:t>
      </w:r>
      <w:r>
        <w:rPr>
          <w:rStyle w:val="45"/>
          <w:rFonts w:hint="eastAsia" w:ascii="宋体" w:hAnsi="宋体" w:eastAsia="宋体" w:cs="宋体"/>
          <w:color w:val="auto"/>
          <w:highlight w:val="none"/>
          <w:lang w:eastAsia="zh-CN"/>
        </w:rPr>
        <w:t>）</w:t>
      </w:r>
      <w:r>
        <w:rPr>
          <w:rStyle w:val="45"/>
          <w:rFonts w:ascii="宋体" w:hAnsi="宋体" w:eastAsia="宋体" w:cs="宋体"/>
          <w:color w:val="auto"/>
          <w:highlight w:val="none"/>
        </w:rPr>
        <w:t>制定</w:t>
      </w:r>
      <w:r>
        <w:rPr>
          <w:rStyle w:val="45"/>
          <w:rFonts w:hint="eastAsia" w:ascii="宋体" w:hAnsi="宋体" w:eastAsia="宋体" w:cs="宋体"/>
          <w:color w:val="auto"/>
          <w:highlight w:val="none"/>
          <w:lang w:val="en-US" w:eastAsia="zh-CN"/>
        </w:rPr>
        <w:t>本行</w:t>
      </w:r>
      <w:r>
        <w:rPr>
          <w:rStyle w:val="45"/>
          <w:rFonts w:ascii="宋体" w:hAnsi="宋体" w:eastAsia="宋体" w:cs="宋体"/>
          <w:color w:val="auto"/>
          <w:highlight w:val="none"/>
        </w:rPr>
        <w:t>风险容忍度、风险管理和内部控制政策，承担全面风险管理的最终责任；</w:t>
      </w:r>
      <w:r>
        <w:rPr>
          <w:rStyle w:val="45"/>
          <w:rFonts w:ascii="宋体" w:hAnsi="宋体" w:eastAsia="宋体" w:cs="宋体"/>
          <w:color w:val="auto"/>
          <w:highlight w:val="none"/>
        </w:rPr>
        <w:br w:type="textWrapping"/>
      </w:r>
      <w:r>
        <w:rPr>
          <w:rFonts w:hint="eastAsia" w:ascii="宋体" w:hAnsi="宋体"/>
          <w:color w:val="auto"/>
          <w:highlight w:val="none"/>
        </w:rPr>
        <w:t>（</w:t>
      </w:r>
      <w:r>
        <w:rPr>
          <w:rFonts w:hint="eastAsia" w:ascii="宋体" w:hAnsi="宋体"/>
          <w:color w:val="auto"/>
          <w:highlight w:val="none"/>
          <w:lang w:val="en-US" w:eastAsia="zh-CN"/>
        </w:rPr>
        <w:t>十七）</w:t>
      </w:r>
      <w:r>
        <w:rPr>
          <w:rStyle w:val="45"/>
          <w:rFonts w:ascii="宋体" w:hAnsi="宋体" w:eastAsia="宋体" w:cs="宋体"/>
          <w:color w:val="auto"/>
          <w:highlight w:val="none"/>
        </w:rPr>
        <w:t>负责</w:t>
      </w:r>
      <w:r>
        <w:rPr>
          <w:rStyle w:val="45"/>
          <w:rFonts w:hint="eastAsia" w:ascii="宋体" w:hAnsi="宋体" w:eastAsia="宋体" w:cs="宋体"/>
          <w:color w:val="auto"/>
          <w:highlight w:val="none"/>
          <w:lang w:val="en-US" w:eastAsia="zh-CN"/>
        </w:rPr>
        <w:t>本行</w:t>
      </w:r>
      <w:r>
        <w:rPr>
          <w:rStyle w:val="45"/>
          <w:rFonts w:ascii="宋体" w:hAnsi="宋体" w:eastAsia="宋体" w:cs="宋体"/>
          <w:color w:val="auto"/>
          <w:highlight w:val="none"/>
        </w:rPr>
        <w:t>信息披露，并对会计和财务报告的真实性、准确性、完整性和及时性承担最终责任；</w:t>
      </w:r>
    </w:p>
    <w:p>
      <w:pPr>
        <w:numPr>
          <w:ilvl w:val="0"/>
          <w:numId w:val="0"/>
        </w:numPr>
        <w:ind w:leftChars="200"/>
        <w:rPr>
          <w:rStyle w:val="45"/>
          <w:rFonts w:ascii="宋体" w:hAnsi="宋体" w:eastAsia="宋体" w:cs="宋体"/>
          <w:color w:val="auto"/>
          <w:highlight w:val="none"/>
        </w:rPr>
      </w:pPr>
      <w:r>
        <w:rPr>
          <w:rStyle w:val="45"/>
          <w:rFonts w:hint="eastAsia" w:ascii="宋体" w:hAnsi="宋体" w:eastAsia="宋体" w:cs="宋体"/>
          <w:color w:val="auto"/>
          <w:highlight w:val="none"/>
          <w:lang w:eastAsia="zh-CN"/>
        </w:rPr>
        <w:t>（</w:t>
      </w:r>
      <w:r>
        <w:rPr>
          <w:rStyle w:val="45"/>
          <w:rFonts w:hint="eastAsia" w:ascii="宋体" w:hAnsi="宋体" w:eastAsia="宋体" w:cs="宋体"/>
          <w:color w:val="auto"/>
          <w:highlight w:val="none"/>
          <w:lang w:val="en-US" w:eastAsia="zh-CN"/>
        </w:rPr>
        <w:t>十八</w:t>
      </w:r>
      <w:r>
        <w:rPr>
          <w:rStyle w:val="45"/>
          <w:rFonts w:hint="eastAsia" w:ascii="宋体" w:hAnsi="宋体" w:eastAsia="宋体" w:cs="宋体"/>
          <w:color w:val="auto"/>
          <w:highlight w:val="none"/>
          <w:lang w:eastAsia="zh-CN"/>
        </w:rPr>
        <w:t>）</w:t>
      </w:r>
      <w:r>
        <w:rPr>
          <w:rStyle w:val="45"/>
          <w:rFonts w:ascii="宋体" w:hAnsi="宋体" w:eastAsia="宋体" w:cs="宋体"/>
          <w:color w:val="auto"/>
          <w:highlight w:val="none"/>
        </w:rPr>
        <w:t>定期评估并完善</w:t>
      </w:r>
      <w:r>
        <w:rPr>
          <w:rStyle w:val="45"/>
          <w:rFonts w:hint="eastAsia" w:ascii="宋体" w:hAnsi="宋体" w:eastAsia="宋体" w:cs="宋体"/>
          <w:color w:val="auto"/>
          <w:highlight w:val="none"/>
          <w:lang w:val="en-US" w:eastAsia="zh-CN"/>
        </w:rPr>
        <w:t>本行</w:t>
      </w:r>
      <w:r>
        <w:rPr>
          <w:rStyle w:val="45"/>
          <w:rFonts w:ascii="宋体" w:hAnsi="宋体" w:eastAsia="宋体" w:cs="宋体"/>
          <w:color w:val="auto"/>
          <w:highlight w:val="none"/>
        </w:rPr>
        <w:t>公司治理；</w:t>
      </w:r>
    </w:p>
    <w:p>
      <w:pPr>
        <w:numPr>
          <w:ilvl w:val="0"/>
          <w:numId w:val="0"/>
        </w:numPr>
        <w:ind w:leftChars="200"/>
        <w:rPr>
          <w:rStyle w:val="45"/>
          <w:rFonts w:ascii="宋体" w:hAnsi="宋体" w:eastAsia="宋体" w:cs="宋体"/>
          <w:color w:val="auto"/>
          <w:highlight w:val="none"/>
        </w:rPr>
      </w:pPr>
      <w:r>
        <w:rPr>
          <w:rStyle w:val="45"/>
          <w:rFonts w:hint="eastAsia" w:ascii="宋体" w:hAnsi="宋体" w:eastAsia="宋体" w:cs="宋体"/>
          <w:color w:val="auto"/>
          <w:highlight w:val="none"/>
          <w:lang w:eastAsia="zh-CN"/>
        </w:rPr>
        <w:t>（</w:t>
      </w:r>
      <w:r>
        <w:rPr>
          <w:rStyle w:val="45"/>
          <w:rFonts w:hint="eastAsia" w:ascii="宋体" w:hAnsi="宋体" w:eastAsia="宋体" w:cs="宋体"/>
          <w:color w:val="auto"/>
          <w:highlight w:val="none"/>
          <w:lang w:val="en-US" w:eastAsia="zh-CN"/>
        </w:rPr>
        <w:t>十九</w:t>
      </w:r>
      <w:r>
        <w:rPr>
          <w:rStyle w:val="45"/>
          <w:rFonts w:hint="eastAsia" w:ascii="宋体" w:hAnsi="宋体" w:eastAsia="宋体" w:cs="宋体"/>
          <w:color w:val="auto"/>
          <w:highlight w:val="none"/>
          <w:lang w:eastAsia="zh-CN"/>
        </w:rPr>
        <w:t>）</w:t>
      </w:r>
      <w:r>
        <w:rPr>
          <w:rStyle w:val="45"/>
          <w:rFonts w:ascii="宋体" w:hAnsi="宋体" w:eastAsia="宋体" w:cs="宋体"/>
          <w:color w:val="auto"/>
          <w:highlight w:val="none"/>
        </w:rPr>
        <w:t>制订章程修改方案，制订董事会议事规则，审议批准董事会专门委员会工作规则；</w:t>
      </w:r>
    </w:p>
    <w:p>
      <w:pPr>
        <w:ind w:firstLine="480" w:firstLineChars="200"/>
        <w:rPr>
          <w:rStyle w:val="45"/>
          <w:rFonts w:ascii="宋体" w:hAnsi="宋体" w:eastAsia="宋体" w:cs="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二十</w:t>
      </w:r>
      <w:r>
        <w:rPr>
          <w:rFonts w:hint="eastAsia" w:ascii="宋体" w:hAnsi="宋体"/>
          <w:color w:val="auto"/>
          <w:highlight w:val="none"/>
          <w:lang w:eastAsia="zh-CN"/>
        </w:rPr>
        <w:t>）</w:t>
      </w:r>
      <w:r>
        <w:rPr>
          <w:rStyle w:val="45"/>
          <w:rFonts w:ascii="宋体" w:hAnsi="宋体" w:eastAsia="宋体" w:cs="宋体"/>
          <w:color w:val="auto"/>
          <w:highlight w:val="none"/>
        </w:rPr>
        <w:t>承担股东事务的管理责任；</w:t>
      </w:r>
    </w:p>
    <w:p>
      <w:pPr>
        <w:numPr>
          <w:ilvl w:val="0"/>
          <w:numId w:val="0"/>
        </w:numPr>
        <w:ind w:leftChars="200"/>
        <w:rPr>
          <w:rFonts w:hint="eastAsia" w:ascii="宋体" w:hAnsi="宋体"/>
          <w:color w:val="auto"/>
        </w:rPr>
      </w:pPr>
      <w:r>
        <w:rPr>
          <w:rFonts w:hint="eastAsia" w:ascii="宋体" w:hAnsi="宋体"/>
          <w:color w:val="auto"/>
          <w:highlight w:val="none"/>
        </w:rPr>
        <w:t>（</w:t>
      </w:r>
      <w:r>
        <w:rPr>
          <w:rFonts w:hint="eastAsia" w:ascii="宋体" w:hAnsi="宋体"/>
          <w:color w:val="auto"/>
          <w:highlight w:val="none"/>
          <w:lang w:val="en-US" w:eastAsia="zh-CN"/>
        </w:rPr>
        <w:t>二十一</w:t>
      </w:r>
      <w:r>
        <w:rPr>
          <w:rFonts w:hint="eastAsia" w:ascii="宋体" w:hAnsi="宋体"/>
          <w:color w:val="auto"/>
          <w:highlight w:val="none"/>
        </w:rPr>
        <w:t>）向股东提请聘请、解聘或者不再续聘</w:t>
      </w:r>
      <w:r>
        <w:rPr>
          <w:rFonts w:hint="eastAsia" w:ascii="宋体" w:hAnsi="宋体"/>
          <w:color w:val="auto"/>
        </w:rPr>
        <w:t>会计师事务所；</w:t>
      </w:r>
    </w:p>
    <w:p>
      <w:pPr>
        <w:ind w:firstLine="480" w:firstLineChars="200"/>
        <w:rPr>
          <w:rFonts w:hint="eastAsia" w:ascii="宋体" w:hAnsi="宋体"/>
          <w:color w:val="auto"/>
        </w:rPr>
      </w:pPr>
      <w:r>
        <w:rPr>
          <w:rFonts w:hint="eastAsia" w:ascii="宋体" w:hAnsi="宋体"/>
          <w:color w:val="auto"/>
        </w:rPr>
        <w:t>（</w:t>
      </w:r>
      <w:r>
        <w:rPr>
          <w:rFonts w:hint="eastAsia" w:ascii="宋体" w:hAnsi="宋体"/>
          <w:color w:val="auto"/>
          <w:lang w:val="en-US" w:eastAsia="zh-CN"/>
        </w:rPr>
        <w:t>二十二</w:t>
      </w:r>
      <w:r>
        <w:rPr>
          <w:rFonts w:hint="eastAsia" w:ascii="宋体" w:hAnsi="宋体"/>
          <w:color w:val="auto"/>
        </w:rPr>
        <w:t>）听取本行行长的工作汇报并检查行长的工作；</w:t>
      </w:r>
    </w:p>
    <w:p>
      <w:pPr>
        <w:ind w:firstLine="480" w:firstLineChars="200"/>
        <w:rPr>
          <w:rFonts w:hint="eastAsia" w:ascii="宋体" w:hAnsi="宋体" w:eastAsia="宋体"/>
          <w:color w:val="auto"/>
          <w:lang w:eastAsia="zh-CN"/>
        </w:rPr>
      </w:pPr>
      <w:r>
        <w:rPr>
          <w:rStyle w:val="45"/>
          <w:rFonts w:ascii="宋体" w:hAnsi="宋体" w:eastAsia="宋体" w:cs="宋体"/>
          <w:color w:val="auto"/>
        </w:rPr>
        <w:t>（</w:t>
      </w:r>
      <w:r>
        <w:rPr>
          <w:rStyle w:val="45"/>
          <w:rFonts w:hint="eastAsia" w:ascii="宋体" w:hAnsi="宋体" w:eastAsia="宋体" w:cs="宋体"/>
          <w:color w:val="auto"/>
          <w:lang w:val="en-US" w:eastAsia="zh-CN"/>
        </w:rPr>
        <w:t>二十三</w:t>
      </w:r>
      <w:r>
        <w:rPr>
          <w:rStyle w:val="45"/>
          <w:rFonts w:ascii="宋体" w:hAnsi="宋体" w:eastAsia="宋体" w:cs="宋体"/>
          <w:color w:val="auto"/>
        </w:rPr>
        <w:t>）维护金融消费者和其他利益相关者合法权益；</w:t>
      </w:r>
    </w:p>
    <w:p>
      <w:pPr>
        <w:ind w:firstLine="480" w:firstLineChars="200"/>
        <w:rPr>
          <w:rFonts w:hint="eastAsia" w:ascii="宋体" w:hAnsi="宋体"/>
          <w:color w:val="auto"/>
        </w:rPr>
      </w:pPr>
      <w:r>
        <w:rPr>
          <w:rFonts w:hint="eastAsia" w:ascii="宋体" w:hAnsi="宋体"/>
          <w:color w:val="auto"/>
        </w:rPr>
        <w:t>（</w:t>
      </w:r>
      <w:r>
        <w:rPr>
          <w:rFonts w:hint="eastAsia" w:ascii="宋体" w:hAnsi="宋体"/>
          <w:color w:val="auto"/>
          <w:lang w:val="en-US" w:eastAsia="zh-CN"/>
        </w:rPr>
        <w:t>二十四</w:t>
      </w:r>
      <w:r>
        <w:rPr>
          <w:rFonts w:hint="eastAsia" w:ascii="宋体" w:hAnsi="宋体"/>
          <w:color w:val="auto"/>
        </w:rPr>
        <w:t>）通报银行业监督管理机构对本行的监管意见及本行整改情况；</w:t>
      </w:r>
    </w:p>
    <w:p>
      <w:pPr>
        <w:ind w:firstLine="480" w:firstLineChars="200"/>
        <w:rPr>
          <w:rFonts w:hint="eastAsia" w:ascii="宋体" w:hAnsi="宋体"/>
          <w:color w:val="auto"/>
        </w:rPr>
      </w:pPr>
      <w:r>
        <w:rPr>
          <w:rFonts w:hint="eastAsia" w:ascii="宋体" w:hAnsi="宋体"/>
          <w:color w:val="auto"/>
        </w:rPr>
        <w:t>（</w:t>
      </w:r>
      <w:r>
        <w:rPr>
          <w:rFonts w:hint="eastAsia" w:ascii="宋体" w:hAnsi="宋体"/>
          <w:color w:val="auto"/>
          <w:lang w:val="en-US" w:eastAsia="zh-CN"/>
        </w:rPr>
        <w:t>二十五</w:t>
      </w:r>
      <w:r>
        <w:rPr>
          <w:rFonts w:hint="eastAsia" w:ascii="宋体" w:hAnsi="宋体"/>
          <w:color w:val="auto"/>
        </w:rPr>
        <w:t>）法律、行政法规、本章程规定或股东授予的其他职权。</w:t>
      </w:r>
    </w:p>
    <w:p>
      <w:pPr>
        <w:numPr>
          <w:ilvl w:val="0"/>
          <w:numId w:val="3"/>
        </w:numPr>
        <w:ind w:left="0" w:firstLine="426"/>
        <w:rPr>
          <w:rFonts w:ascii="宋体" w:hAnsi="宋体"/>
          <w:color w:val="auto"/>
        </w:rPr>
      </w:pPr>
      <w:r>
        <w:rPr>
          <w:rFonts w:hint="eastAsia" w:ascii="宋体" w:hAnsi="宋体"/>
          <w:color w:val="auto"/>
        </w:rPr>
        <w:t>本行董事会应当就注册会计师对本行财务报告出具的有保留意见、否定意见或者无法表示意见的审计报告向股东作出说明。</w:t>
      </w:r>
    </w:p>
    <w:p>
      <w:pPr>
        <w:numPr>
          <w:ilvl w:val="0"/>
          <w:numId w:val="3"/>
        </w:numPr>
        <w:ind w:left="0" w:firstLine="426"/>
        <w:rPr>
          <w:rFonts w:ascii="宋体" w:hAnsi="宋体"/>
          <w:color w:val="auto"/>
        </w:rPr>
      </w:pPr>
      <w:r>
        <w:rPr>
          <w:rFonts w:hint="eastAsia" w:ascii="宋体" w:hAnsi="宋体"/>
          <w:color w:val="auto"/>
        </w:rPr>
        <w:t>董事会应当确定其运用本行资产所作出的风险投资、对外担保事宜、关联交易和大额贷款的权限，建立严格的审查和决策程序。</w:t>
      </w:r>
    </w:p>
    <w:p>
      <w:pPr>
        <w:numPr>
          <w:ilvl w:val="0"/>
          <w:numId w:val="3"/>
        </w:numPr>
        <w:ind w:left="0" w:firstLine="426"/>
        <w:rPr>
          <w:rFonts w:ascii="宋体" w:hAnsi="宋体"/>
          <w:color w:val="auto"/>
        </w:rPr>
      </w:pPr>
      <w:r>
        <w:rPr>
          <w:rFonts w:hint="eastAsia" w:ascii="宋体" w:hAnsi="宋体"/>
          <w:color w:val="auto"/>
        </w:rPr>
        <w:t>董事会在行长聘任期限内解除其职务的，应当及时告知银行业监督管理机构，并做出书面说明。</w:t>
      </w:r>
    </w:p>
    <w:p>
      <w:pPr>
        <w:numPr>
          <w:ilvl w:val="0"/>
          <w:numId w:val="3"/>
        </w:numPr>
        <w:ind w:left="0" w:firstLine="426"/>
        <w:rPr>
          <w:rFonts w:hint="eastAsia" w:ascii="宋体" w:hAnsi="宋体"/>
          <w:color w:val="auto"/>
        </w:rPr>
      </w:pPr>
      <w:r>
        <w:rPr>
          <w:rFonts w:hint="eastAsia" w:ascii="宋体" w:hAnsi="宋体"/>
          <w:color w:val="auto"/>
        </w:rPr>
        <w:t>董事长不能履行职务或不履行职务的，由半数以上董事共同推举一名董事履行职务，并应立即报告股东。</w:t>
      </w:r>
    </w:p>
    <w:p>
      <w:pPr>
        <w:numPr>
          <w:ilvl w:val="0"/>
          <w:numId w:val="3"/>
        </w:numPr>
        <w:ind w:left="0" w:firstLine="426"/>
        <w:rPr>
          <w:rFonts w:hint="eastAsia" w:ascii="宋体" w:hAnsi="宋体"/>
          <w:color w:val="auto"/>
        </w:rPr>
      </w:pPr>
      <w:r>
        <w:rPr>
          <w:rFonts w:hint="eastAsia" w:ascii="宋体" w:hAnsi="宋体"/>
          <w:color w:val="auto"/>
        </w:rPr>
        <w:t>董事长行使下列职权：</w:t>
      </w:r>
    </w:p>
    <w:p>
      <w:pPr>
        <w:ind w:firstLine="562"/>
        <w:rPr>
          <w:rFonts w:hint="eastAsia" w:ascii="宋体" w:hAnsi="宋体"/>
          <w:color w:val="auto"/>
        </w:rPr>
      </w:pPr>
      <w:r>
        <w:rPr>
          <w:rFonts w:hint="eastAsia" w:ascii="宋体" w:hAnsi="宋体"/>
          <w:color w:val="auto"/>
        </w:rPr>
        <w:t>（一）召集、主持董事会会议；</w:t>
      </w:r>
    </w:p>
    <w:p>
      <w:pPr>
        <w:ind w:firstLine="562"/>
        <w:rPr>
          <w:rFonts w:hint="eastAsia" w:ascii="宋体" w:hAnsi="宋体"/>
          <w:color w:val="auto"/>
        </w:rPr>
      </w:pPr>
      <w:r>
        <w:rPr>
          <w:rFonts w:hint="eastAsia" w:ascii="宋体" w:hAnsi="宋体"/>
          <w:color w:val="auto"/>
        </w:rPr>
        <w:t>（二）督促、检查董事会决议的执行和实施情况，并向董事会报告；</w:t>
      </w:r>
    </w:p>
    <w:p>
      <w:pPr>
        <w:ind w:firstLine="562"/>
        <w:rPr>
          <w:rFonts w:hint="eastAsia" w:ascii="宋体" w:hAnsi="宋体"/>
          <w:color w:val="auto"/>
        </w:rPr>
      </w:pPr>
      <w:r>
        <w:rPr>
          <w:rFonts w:hint="eastAsia" w:ascii="宋体" w:hAnsi="宋体"/>
          <w:color w:val="auto"/>
        </w:rPr>
        <w:t>（三）签署董事会重要文件；</w:t>
      </w:r>
    </w:p>
    <w:p>
      <w:pPr>
        <w:ind w:firstLine="562"/>
        <w:rPr>
          <w:rFonts w:hint="eastAsia" w:ascii="宋体" w:hAnsi="宋体"/>
          <w:color w:val="auto"/>
        </w:rPr>
      </w:pPr>
      <w:r>
        <w:rPr>
          <w:rFonts w:hint="eastAsia" w:ascii="宋体" w:hAnsi="宋体"/>
          <w:color w:val="auto"/>
        </w:rPr>
        <w:t>（四）行使法定的职权；</w:t>
      </w:r>
    </w:p>
    <w:p>
      <w:pPr>
        <w:ind w:firstLine="562"/>
        <w:rPr>
          <w:rFonts w:hint="eastAsia" w:ascii="宋体" w:hAnsi="宋体"/>
          <w:color w:val="auto"/>
        </w:rPr>
      </w:pPr>
      <w:r>
        <w:rPr>
          <w:rFonts w:hint="eastAsia" w:ascii="宋体" w:hAnsi="宋体"/>
          <w:color w:val="auto"/>
        </w:rPr>
        <w:t>（五）董事会授予的其他职权。</w:t>
      </w:r>
    </w:p>
    <w:p>
      <w:pPr>
        <w:numPr>
          <w:ilvl w:val="0"/>
          <w:numId w:val="3"/>
        </w:numPr>
        <w:ind w:left="0" w:firstLine="426"/>
        <w:rPr>
          <w:rFonts w:ascii="宋体" w:hAnsi="宋体"/>
          <w:color w:val="auto"/>
        </w:rPr>
      </w:pPr>
      <w:r>
        <w:rPr>
          <w:rFonts w:hint="eastAsia" w:ascii="宋体" w:hAnsi="宋体"/>
          <w:color w:val="auto"/>
        </w:rPr>
        <w:t>董事会应当根据本行的需要召开董事会会议，董事会会议可以以现场会议表决（含视频或电话会议等能够保证参会人员即时交流讨论的方式）和书面传签表决两种方式进行。董事会应当每季度至少召开1次会议,由董事长召集，于会议召开10日（或全体</w:t>
      </w:r>
      <w:r>
        <w:rPr>
          <w:rFonts w:ascii="宋体" w:hAnsi="宋体"/>
          <w:color w:val="auto"/>
        </w:rPr>
        <w:t>董事</w:t>
      </w:r>
      <w:r>
        <w:rPr>
          <w:rFonts w:hint="eastAsia" w:ascii="宋体" w:hAnsi="宋体"/>
          <w:color w:val="auto"/>
        </w:rPr>
        <w:t>在</w:t>
      </w:r>
      <w:r>
        <w:rPr>
          <w:rFonts w:ascii="宋体" w:hAnsi="宋体"/>
          <w:color w:val="auto"/>
        </w:rPr>
        <w:t>会议召开时</w:t>
      </w:r>
      <w:r>
        <w:rPr>
          <w:rFonts w:hint="eastAsia" w:ascii="宋体" w:hAnsi="宋体"/>
          <w:color w:val="auto"/>
        </w:rPr>
        <w:t>认可</w:t>
      </w:r>
      <w:r>
        <w:rPr>
          <w:rFonts w:ascii="宋体" w:hAnsi="宋体"/>
          <w:color w:val="auto"/>
        </w:rPr>
        <w:t>的更短期限</w:t>
      </w:r>
      <w:r>
        <w:rPr>
          <w:rFonts w:hint="eastAsia" w:ascii="宋体" w:hAnsi="宋体"/>
          <w:color w:val="auto"/>
        </w:rPr>
        <w:t>）以前书面通知全体董事。</w:t>
      </w:r>
    </w:p>
    <w:p>
      <w:pPr>
        <w:numPr>
          <w:ilvl w:val="0"/>
          <w:numId w:val="3"/>
        </w:numPr>
        <w:ind w:left="0" w:firstLine="426"/>
        <w:rPr>
          <w:rFonts w:hint="eastAsia" w:ascii="宋体" w:hAnsi="宋体"/>
          <w:color w:val="auto"/>
        </w:rPr>
      </w:pPr>
      <w:r>
        <w:rPr>
          <w:rFonts w:hint="eastAsia" w:ascii="宋体" w:hAnsi="宋体"/>
          <w:color w:val="auto"/>
        </w:rPr>
        <w:t>有下列情形之一的，董事长应在10 日内召集临时董事会会议：</w:t>
      </w:r>
    </w:p>
    <w:p>
      <w:pPr>
        <w:ind w:firstLine="562"/>
        <w:rPr>
          <w:rFonts w:hint="eastAsia" w:ascii="宋体" w:hAnsi="宋体"/>
          <w:color w:val="auto"/>
        </w:rPr>
      </w:pPr>
      <w:r>
        <w:rPr>
          <w:rFonts w:hint="eastAsia" w:ascii="宋体" w:hAnsi="宋体"/>
          <w:color w:val="auto"/>
        </w:rPr>
        <w:t>（一）董事长认为必要时；</w:t>
      </w:r>
    </w:p>
    <w:p>
      <w:pPr>
        <w:ind w:firstLine="562"/>
        <w:rPr>
          <w:rFonts w:hint="eastAsia" w:ascii="宋体" w:hAnsi="宋体"/>
          <w:color w:val="auto"/>
        </w:rPr>
      </w:pPr>
      <w:r>
        <w:rPr>
          <w:rFonts w:hint="eastAsia" w:ascii="宋体" w:hAnsi="宋体"/>
          <w:color w:val="auto"/>
        </w:rPr>
        <w:t>（二）三分之一以上董事联名提议或</w:t>
      </w:r>
      <w:r>
        <w:rPr>
          <w:rFonts w:ascii="宋体" w:hAnsi="宋体"/>
          <w:color w:val="auto"/>
        </w:rPr>
        <w:t>监事会提议</w:t>
      </w:r>
      <w:r>
        <w:rPr>
          <w:rFonts w:hint="eastAsia" w:ascii="宋体" w:hAnsi="宋体"/>
          <w:color w:val="auto"/>
        </w:rPr>
        <w:t>时；</w:t>
      </w:r>
    </w:p>
    <w:p>
      <w:pPr>
        <w:ind w:firstLine="562"/>
        <w:rPr>
          <w:rFonts w:ascii="宋体" w:hAnsi="宋体"/>
          <w:color w:val="auto"/>
        </w:rPr>
      </w:pPr>
      <w:r>
        <w:rPr>
          <w:rFonts w:hint="eastAsia" w:ascii="宋体" w:hAnsi="宋体"/>
          <w:color w:val="auto"/>
        </w:rPr>
        <w:t>（三）行长提议时；</w:t>
      </w:r>
    </w:p>
    <w:p>
      <w:pPr>
        <w:ind w:firstLine="562"/>
        <w:rPr>
          <w:rFonts w:hint="eastAsia" w:ascii="宋体" w:hAnsi="宋体"/>
          <w:color w:val="auto"/>
        </w:rPr>
      </w:pPr>
      <w:bookmarkStart w:id="19" w:name="OLE_LINK13"/>
      <w:bookmarkStart w:id="20" w:name="OLE_LINK16"/>
      <w:r>
        <w:rPr>
          <w:rFonts w:hint="eastAsia" w:ascii="宋体" w:hAnsi="宋体"/>
          <w:color w:val="auto"/>
        </w:rPr>
        <w:t>（四</w:t>
      </w:r>
      <w:r>
        <w:rPr>
          <w:rFonts w:ascii="宋体" w:hAnsi="宋体"/>
          <w:color w:val="auto"/>
        </w:rPr>
        <w:t>）股东提议</w:t>
      </w:r>
      <w:r>
        <w:rPr>
          <w:rFonts w:hint="eastAsia" w:ascii="宋体" w:hAnsi="宋体"/>
          <w:color w:val="auto"/>
        </w:rPr>
        <w:t>时</w:t>
      </w:r>
      <w:bookmarkEnd w:id="19"/>
      <w:bookmarkEnd w:id="20"/>
      <w:r>
        <w:rPr>
          <w:rFonts w:hint="eastAsia" w:ascii="宋体" w:hAnsi="宋体"/>
          <w:color w:val="auto"/>
        </w:rPr>
        <w:t>。</w:t>
      </w:r>
    </w:p>
    <w:p>
      <w:pPr>
        <w:numPr>
          <w:ilvl w:val="0"/>
          <w:numId w:val="3"/>
        </w:numPr>
        <w:ind w:left="0" w:firstLine="426"/>
        <w:rPr>
          <w:rFonts w:ascii="宋体" w:hAnsi="宋体"/>
          <w:color w:val="auto"/>
        </w:rPr>
      </w:pPr>
      <w:r>
        <w:rPr>
          <w:rFonts w:hint="eastAsia" w:ascii="宋体" w:hAnsi="宋体"/>
          <w:color w:val="auto"/>
        </w:rPr>
        <w:t>董事会的会议通知方式为：书面通知，包括以专人送达、挂号信、电报、电传及经确认收到的传真、电子邮件。</w:t>
      </w:r>
    </w:p>
    <w:p>
      <w:pPr>
        <w:numPr>
          <w:ilvl w:val="0"/>
          <w:numId w:val="3"/>
        </w:numPr>
        <w:ind w:left="0" w:firstLine="426"/>
        <w:rPr>
          <w:rFonts w:ascii="宋体" w:hAnsi="宋体"/>
          <w:color w:val="auto"/>
        </w:rPr>
      </w:pPr>
      <w:r>
        <w:rPr>
          <w:rFonts w:hint="eastAsia" w:ascii="宋体" w:hAnsi="宋体"/>
          <w:color w:val="auto"/>
        </w:rPr>
        <w:t>董事会会议通知包括以下内容：</w:t>
      </w:r>
    </w:p>
    <w:p>
      <w:pPr>
        <w:ind w:firstLine="562"/>
        <w:rPr>
          <w:rFonts w:ascii="宋体" w:hAnsi="宋体"/>
          <w:color w:val="auto"/>
        </w:rPr>
      </w:pPr>
      <w:r>
        <w:rPr>
          <w:rFonts w:hint="eastAsia" w:ascii="宋体" w:hAnsi="宋体"/>
          <w:color w:val="auto"/>
        </w:rPr>
        <w:t>（一）会议日期和地点；</w:t>
      </w:r>
    </w:p>
    <w:p>
      <w:pPr>
        <w:ind w:firstLine="562"/>
        <w:rPr>
          <w:rFonts w:ascii="宋体" w:hAnsi="宋体"/>
          <w:color w:val="auto"/>
        </w:rPr>
      </w:pPr>
      <w:r>
        <w:rPr>
          <w:rFonts w:hint="eastAsia" w:ascii="宋体" w:hAnsi="宋体"/>
          <w:color w:val="auto"/>
        </w:rPr>
        <w:t>（二）会议期限；</w:t>
      </w:r>
    </w:p>
    <w:p>
      <w:pPr>
        <w:ind w:firstLine="562"/>
        <w:rPr>
          <w:rFonts w:ascii="宋体" w:hAnsi="宋体"/>
          <w:color w:val="auto"/>
        </w:rPr>
      </w:pPr>
      <w:r>
        <w:rPr>
          <w:rFonts w:hint="eastAsia" w:ascii="宋体" w:hAnsi="宋体"/>
          <w:color w:val="auto"/>
        </w:rPr>
        <w:t>（三）事由及议题；</w:t>
      </w:r>
    </w:p>
    <w:p>
      <w:pPr>
        <w:ind w:firstLine="562"/>
        <w:rPr>
          <w:rFonts w:ascii="宋体" w:hAnsi="宋体"/>
          <w:color w:val="auto"/>
        </w:rPr>
      </w:pPr>
      <w:r>
        <w:rPr>
          <w:rFonts w:hint="eastAsia" w:ascii="宋体" w:hAnsi="宋体"/>
          <w:color w:val="auto"/>
        </w:rPr>
        <w:t>（四）发出通知的日期。</w:t>
      </w:r>
    </w:p>
    <w:p>
      <w:pPr>
        <w:numPr>
          <w:ilvl w:val="0"/>
          <w:numId w:val="3"/>
        </w:numPr>
        <w:ind w:left="0" w:firstLine="426"/>
        <w:rPr>
          <w:rFonts w:ascii="宋体" w:hAnsi="宋体"/>
          <w:color w:val="auto"/>
        </w:rPr>
      </w:pPr>
      <w:r>
        <w:rPr>
          <w:rFonts w:hint="eastAsia" w:ascii="宋体" w:hAnsi="宋体"/>
          <w:color w:val="auto"/>
        </w:rPr>
        <w:t>董事会会议应当由二分之一以上董事出席方可举行。董事会决议的表决，实行一人一票，每一董事享有一票表决权。</w:t>
      </w:r>
    </w:p>
    <w:p>
      <w:pPr>
        <w:numPr>
          <w:ilvl w:val="0"/>
          <w:numId w:val="3"/>
        </w:numPr>
        <w:ind w:left="0" w:firstLine="426"/>
        <w:rPr>
          <w:rFonts w:hint="eastAsia" w:ascii="宋体" w:hAnsi="宋体"/>
          <w:color w:val="auto"/>
        </w:rPr>
      </w:pPr>
      <w:r>
        <w:rPr>
          <w:rFonts w:hint="eastAsia" w:ascii="宋体" w:hAnsi="宋体"/>
          <w:color w:val="auto"/>
        </w:rPr>
        <w:t>董事会决议表决方式为记名投票表决。</w:t>
      </w:r>
    </w:p>
    <w:p>
      <w:pPr>
        <w:numPr>
          <w:ilvl w:val="0"/>
          <w:numId w:val="3"/>
        </w:numPr>
        <w:ind w:left="0" w:firstLine="426"/>
        <w:rPr>
          <w:rFonts w:hint="eastAsia" w:ascii="宋体" w:hAnsi="宋体"/>
          <w:color w:val="auto"/>
        </w:rPr>
      </w:pPr>
      <w:r>
        <w:rPr>
          <w:rFonts w:hint="eastAsia" w:ascii="宋体" w:hAnsi="宋体"/>
          <w:color w:val="auto"/>
        </w:rPr>
        <w:t>董事会在保障董事充分表达意见的前提下，可采用书面议案传签方式代替召开董事会会议，但该议案的草案必须完整、全面且须以专人送达、邮寄、传真、电子邮件中之一的方式送交每一位董事，如果董事会已将议案派发给全体董事，并且签字同意的董事已按本章程规定达到作出该决定所需的人数，该议案即可成为董事会决议，无需再召集董事会会议。</w:t>
      </w:r>
    </w:p>
    <w:p>
      <w:pPr>
        <w:numPr>
          <w:ilvl w:val="0"/>
          <w:numId w:val="3"/>
        </w:numPr>
        <w:ind w:left="0" w:firstLine="426"/>
        <w:rPr>
          <w:rFonts w:hint="eastAsia" w:ascii="宋体" w:hAnsi="宋体"/>
          <w:color w:val="auto"/>
        </w:rPr>
      </w:pPr>
      <w:r>
        <w:rPr>
          <w:rFonts w:hint="eastAsia" w:ascii="宋体" w:hAnsi="宋体"/>
          <w:color w:val="auto"/>
        </w:rPr>
        <w:t>董事会审议以下事项时应当由三分之二以上董事表决通过且不能以书面议案传签方式召开，其余事项由二分之一以上董事表决通过：</w:t>
      </w:r>
    </w:p>
    <w:p>
      <w:pPr>
        <w:ind w:firstLine="562"/>
        <w:rPr>
          <w:rFonts w:hint="eastAsia" w:ascii="宋体" w:hAnsi="宋体"/>
          <w:color w:val="auto"/>
        </w:rPr>
      </w:pPr>
      <w:r>
        <w:rPr>
          <w:rFonts w:hint="eastAsia" w:ascii="宋体" w:hAnsi="宋体"/>
          <w:color w:val="auto"/>
        </w:rPr>
        <w:t>（一）利润分配或弥补亏损的变动方案；</w:t>
      </w:r>
    </w:p>
    <w:p>
      <w:pPr>
        <w:ind w:firstLine="562"/>
        <w:rPr>
          <w:rFonts w:hint="eastAsia" w:ascii="宋体" w:hAnsi="宋体"/>
          <w:color w:val="auto"/>
        </w:rPr>
      </w:pPr>
      <w:r>
        <w:rPr>
          <w:rFonts w:hint="eastAsia" w:ascii="宋体" w:hAnsi="宋体"/>
          <w:color w:val="auto"/>
        </w:rPr>
        <w:t>（二）增加或者减少注册资本的方案；</w:t>
      </w:r>
    </w:p>
    <w:p>
      <w:pPr>
        <w:ind w:firstLine="562"/>
        <w:rPr>
          <w:rFonts w:hint="eastAsia" w:ascii="宋体" w:hAnsi="宋体"/>
          <w:color w:val="auto"/>
        </w:rPr>
      </w:pPr>
      <w:r>
        <w:rPr>
          <w:rFonts w:hint="eastAsia" w:ascii="宋体" w:hAnsi="宋体"/>
          <w:color w:val="auto"/>
        </w:rPr>
        <w:t>（三）合并、分立、解散或者变更本行的公司形式的方案；</w:t>
      </w:r>
    </w:p>
    <w:p>
      <w:pPr>
        <w:ind w:firstLine="562"/>
        <w:rPr>
          <w:rFonts w:hint="eastAsia" w:ascii="宋体" w:hAnsi="宋体"/>
          <w:color w:val="auto"/>
        </w:rPr>
      </w:pPr>
      <w:r>
        <w:rPr>
          <w:rFonts w:hint="eastAsia" w:ascii="宋体" w:hAnsi="宋体"/>
          <w:color w:val="auto"/>
        </w:rPr>
        <w:t>（四）本章程的修订案；</w:t>
      </w:r>
    </w:p>
    <w:p>
      <w:pPr>
        <w:ind w:firstLine="562"/>
        <w:rPr>
          <w:rFonts w:hint="eastAsia" w:ascii="宋体" w:hAnsi="宋体"/>
          <w:color w:val="auto"/>
        </w:rPr>
      </w:pPr>
      <w:r>
        <w:rPr>
          <w:rFonts w:hint="eastAsia" w:ascii="宋体" w:hAnsi="宋体"/>
          <w:color w:val="auto"/>
        </w:rPr>
        <w:t>（五）审议超出董事会给高级管理层设定的开支限额的任何重大资本开支、合同和承诺；</w:t>
      </w:r>
    </w:p>
    <w:p>
      <w:pPr>
        <w:ind w:firstLine="562"/>
        <w:rPr>
          <w:rFonts w:hint="eastAsia" w:ascii="宋体" w:hAnsi="宋体"/>
          <w:color w:val="auto"/>
        </w:rPr>
      </w:pPr>
      <w:r>
        <w:rPr>
          <w:rFonts w:hint="eastAsia" w:ascii="宋体" w:hAnsi="宋体"/>
          <w:color w:val="auto"/>
        </w:rPr>
        <w:t>（六）制订出售或转移本行全部或绝大部分业务或资产的方案；</w:t>
      </w:r>
    </w:p>
    <w:p>
      <w:pPr>
        <w:ind w:firstLine="562"/>
        <w:rPr>
          <w:rFonts w:hint="eastAsia" w:ascii="宋体" w:hAnsi="宋体"/>
          <w:color w:val="auto"/>
        </w:rPr>
      </w:pPr>
      <w:r>
        <w:rPr>
          <w:rFonts w:hint="eastAsia" w:ascii="宋体" w:hAnsi="宋体"/>
          <w:color w:val="auto"/>
        </w:rPr>
        <w:t>（七）聘任或解聘本行行长、副行长；</w:t>
      </w:r>
    </w:p>
    <w:p>
      <w:pPr>
        <w:ind w:firstLine="562"/>
        <w:rPr>
          <w:rFonts w:ascii="宋体" w:hAnsi="宋体"/>
          <w:color w:val="auto"/>
        </w:rPr>
      </w:pPr>
      <w:r>
        <w:rPr>
          <w:rFonts w:hint="eastAsia" w:ascii="宋体" w:hAnsi="宋体"/>
          <w:color w:val="auto"/>
        </w:rPr>
        <w:t>（八）董事会全体董事过半数认为会对本行产生重大影响的、应当由三分之二以上董事表决通过的其它事项。</w:t>
      </w:r>
    </w:p>
    <w:p>
      <w:pPr>
        <w:numPr>
          <w:ilvl w:val="0"/>
          <w:numId w:val="3"/>
        </w:numPr>
        <w:ind w:left="0" w:firstLine="426"/>
        <w:rPr>
          <w:rFonts w:ascii="宋体" w:hAnsi="宋体"/>
          <w:color w:val="auto"/>
        </w:rPr>
      </w:pPr>
      <w:r>
        <w:rPr>
          <w:rFonts w:hint="eastAsia" w:ascii="宋体" w:hAnsi="宋体"/>
          <w:color w:val="auto"/>
        </w:rPr>
        <w:t>董事会审议有关关联交易事项时，关联董事应回避，不参与表决。关联董事可以自行回避，也可以由其他参加董事会的董事提出回避请求。</w:t>
      </w:r>
    </w:p>
    <w:p>
      <w:pPr>
        <w:numPr>
          <w:ilvl w:val="0"/>
          <w:numId w:val="3"/>
        </w:numPr>
        <w:ind w:left="0" w:firstLine="426"/>
        <w:rPr>
          <w:rFonts w:hint="eastAsia" w:ascii="宋体" w:hAnsi="宋体"/>
          <w:color w:val="auto"/>
        </w:rPr>
      </w:pPr>
      <w:r>
        <w:rPr>
          <w:rFonts w:hint="eastAsia" w:ascii="宋体" w:hAnsi="宋体"/>
          <w:color w:val="auto"/>
        </w:rPr>
        <w:t>董事会会议应当由董事本人出席，董事因故不能出席的，可以书面委托其他董事代为出席。授权委托书应当载明代理人的姓名、代理事项、授权范围和有效期限，并由委托人签名或盖章。</w:t>
      </w:r>
    </w:p>
    <w:p>
      <w:pPr>
        <w:ind w:firstLine="480" w:firstLineChars="200"/>
        <w:rPr>
          <w:rFonts w:hint="eastAsia" w:ascii="宋体" w:hAnsi="宋体"/>
          <w:color w:val="auto"/>
        </w:rPr>
      </w:pPr>
      <w:r>
        <w:rPr>
          <w:rFonts w:hint="eastAsia" w:ascii="宋体" w:hAnsi="宋体"/>
          <w:color w:val="auto"/>
        </w:rPr>
        <w:t>代为出席会议的董事应当在授权范围内行使董事的权利。董事未出席董事会会议，亦未委托代表出席的，视为放弃在该次会议上的投票权。</w:t>
      </w:r>
    </w:p>
    <w:p>
      <w:pPr>
        <w:numPr>
          <w:ilvl w:val="0"/>
          <w:numId w:val="3"/>
        </w:numPr>
        <w:ind w:left="0" w:firstLine="426"/>
        <w:rPr>
          <w:rFonts w:ascii="宋体" w:hAnsi="宋体"/>
          <w:color w:val="auto"/>
        </w:rPr>
      </w:pPr>
      <w:r>
        <w:rPr>
          <w:rFonts w:hint="eastAsia" w:ascii="宋体" w:hAnsi="宋体"/>
          <w:color w:val="auto"/>
        </w:rPr>
        <w:t>董事会会议应当有记录，出席会议的董事和记录人，应当在会议记录上签名。出席会议的董事有权要求在会议记录上对其在会议上的发言作出说明性记载。董事会决议和会议记录作为本行档案保存，保存期限为永久。</w:t>
      </w:r>
    </w:p>
    <w:p>
      <w:pPr>
        <w:numPr>
          <w:ilvl w:val="0"/>
          <w:numId w:val="3"/>
        </w:numPr>
        <w:ind w:left="0" w:firstLine="426"/>
        <w:rPr>
          <w:rFonts w:ascii="宋体" w:hAnsi="宋体"/>
          <w:color w:val="auto"/>
        </w:rPr>
      </w:pPr>
      <w:r>
        <w:rPr>
          <w:rFonts w:hint="eastAsia" w:ascii="宋体" w:hAnsi="宋体"/>
          <w:color w:val="auto"/>
        </w:rPr>
        <w:t>董事会会议记录包括以下内容：</w:t>
      </w:r>
    </w:p>
    <w:p>
      <w:pPr>
        <w:ind w:firstLine="480" w:firstLineChars="200"/>
        <w:rPr>
          <w:rFonts w:ascii="宋体" w:hAnsi="宋体"/>
          <w:color w:val="auto"/>
        </w:rPr>
      </w:pPr>
      <w:r>
        <w:rPr>
          <w:rFonts w:hint="eastAsia" w:ascii="宋体" w:hAnsi="宋体"/>
          <w:color w:val="auto"/>
        </w:rPr>
        <w:t>（一）会议召开的日期、地点和召集人姓名；</w:t>
      </w:r>
    </w:p>
    <w:p>
      <w:pPr>
        <w:ind w:firstLine="480" w:firstLineChars="200"/>
        <w:rPr>
          <w:rFonts w:ascii="宋体" w:hAnsi="宋体"/>
          <w:color w:val="auto"/>
        </w:rPr>
      </w:pPr>
      <w:r>
        <w:rPr>
          <w:rFonts w:hint="eastAsia" w:ascii="宋体" w:hAnsi="宋体"/>
          <w:color w:val="auto"/>
        </w:rPr>
        <w:t>（二）出席董事的姓名以及受他人委托出席董事会的董事（代理人）姓名；</w:t>
      </w:r>
    </w:p>
    <w:p>
      <w:pPr>
        <w:ind w:firstLine="480" w:firstLineChars="200"/>
        <w:rPr>
          <w:rFonts w:ascii="宋体" w:hAnsi="宋体"/>
          <w:color w:val="auto"/>
        </w:rPr>
      </w:pPr>
      <w:r>
        <w:rPr>
          <w:rFonts w:hint="eastAsia" w:ascii="宋体" w:hAnsi="宋体"/>
          <w:color w:val="auto"/>
        </w:rPr>
        <w:t>（三）会议议程；</w:t>
      </w:r>
    </w:p>
    <w:p>
      <w:pPr>
        <w:ind w:firstLine="480" w:firstLineChars="200"/>
        <w:rPr>
          <w:rFonts w:ascii="宋体" w:hAnsi="宋体"/>
          <w:color w:val="auto"/>
        </w:rPr>
      </w:pPr>
      <w:r>
        <w:rPr>
          <w:rFonts w:hint="eastAsia" w:ascii="宋体" w:hAnsi="宋体"/>
          <w:color w:val="auto"/>
        </w:rPr>
        <w:t>（四）董事发言要点；</w:t>
      </w:r>
    </w:p>
    <w:p>
      <w:pPr>
        <w:ind w:firstLine="480" w:firstLineChars="200"/>
        <w:rPr>
          <w:rFonts w:ascii="宋体" w:hAnsi="宋体"/>
          <w:color w:val="auto"/>
        </w:rPr>
      </w:pPr>
      <w:r>
        <w:rPr>
          <w:rFonts w:hint="eastAsia" w:ascii="宋体" w:hAnsi="宋体"/>
          <w:color w:val="auto"/>
        </w:rPr>
        <w:t>（五）每一决议事项的表决方式和结果（表决结果应载明赞成、反对或弃权的票数）；</w:t>
      </w:r>
    </w:p>
    <w:p>
      <w:pPr>
        <w:ind w:firstLine="480" w:firstLineChars="200"/>
        <w:rPr>
          <w:rFonts w:ascii="宋体" w:hAnsi="宋体"/>
          <w:color w:val="auto"/>
        </w:rPr>
      </w:pPr>
      <w:r>
        <w:rPr>
          <w:rFonts w:hint="eastAsia" w:ascii="宋体" w:hAnsi="宋体"/>
          <w:color w:val="auto"/>
        </w:rPr>
        <w:t>（六）董事会认为或本章程规定应当载入会议记录的其他内容。</w:t>
      </w:r>
    </w:p>
    <w:p>
      <w:pPr>
        <w:numPr>
          <w:ilvl w:val="0"/>
          <w:numId w:val="3"/>
        </w:numPr>
        <w:ind w:left="0" w:firstLine="426"/>
        <w:rPr>
          <w:rFonts w:ascii="宋体" w:hAnsi="宋体"/>
          <w:color w:val="auto"/>
        </w:rPr>
      </w:pPr>
      <w:r>
        <w:rPr>
          <w:rFonts w:hint="eastAsia" w:ascii="宋体" w:hAnsi="宋体"/>
          <w:color w:val="auto"/>
        </w:rPr>
        <w:t>董事应当在董事会决议上签字并对董事会的决议承担责任。董事会决议违反法律、行政法规或者本章程、股东决定，致使本行遭受损失的，参与决议的董事对本行负赔偿责任。但经证明在表决时曾表明异议并记载于会议记录的，该董事可以免除责任。</w:t>
      </w:r>
    </w:p>
    <w:p>
      <w:pPr>
        <w:ind w:firstLine="480" w:firstLineChars="200"/>
        <w:rPr>
          <w:rFonts w:ascii="宋体" w:hAnsi="宋体"/>
          <w:color w:val="auto"/>
        </w:rPr>
      </w:pPr>
    </w:p>
    <w:p>
      <w:pPr>
        <w:jc w:val="center"/>
        <w:rPr>
          <w:rFonts w:ascii="宋体" w:hAnsi="宋体"/>
          <w:b/>
          <w:color w:val="auto"/>
        </w:rPr>
      </w:pPr>
      <w:r>
        <w:rPr>
          <w:rFonts w:hint="eastAsia" w:ascii="宋体" w:hAnsi="宋体"/>
          <w:b/>
          <w:color w:val="auto"/>
        </w:rPr>
        <w:t>第六章　行长及其他高级管理人员</w:t>
      </w:r>
    </w:p>
    <w:p>
      <w:pPr>
        <w:ind w:firstLine="482" w:firstLineChars="200"/>
        <w:rPr>
          <w:rFonts w:ascii="宋体" w:hAnsi="宋体"/>
          <w:b/>
          <w:color w:val="auto"/>
        </w:rPr>
      </w:pPr>
    </w:p>
    <w:p>
      <w:pPr>
        <w:numPr>
          <w:ilvl w:val="0"/>
          <w:numId w:val="3"/>
        </w:numPr>
        <w:ind w:left="0" w:firstLine="426"/>
        <w:rPr>
          <w:rFonts w:ascii="宋体" w:hAnsi="宋体"/>
          <w:color w:val="auto"/>
        </w:rPr>
      </w:pPr>
      <w:r>
        <w:rPr>
          <w:rFonts w:hint="eastAsia" w:ascii="宋体" w:hAnsi="宋体"/>
          <w:color w:val="auto"/>
        </w:rPr>
        <w:t>本行设行长1名，副行长</w:t>
      </w:r>
      <w:bookmarkStart w:id="21" w:name="_DV_M147"/>
      <w:bookmarkEnd w:id="21"/>
      <w:r>
        <w:rPr>
          <w:rFonts w:hint="eastAsia" w:ascii="宋体" w:hAnsi="宋体"/>
          <w:color w:val="auto"/>
          <w:lang w:val="en-AU"/>
        </w:rPr>
        <w:t>若干</w:t>
      </w:r>
      <w:r>
        <w:rPr>
          <w:rFonts w:hint="eastAsia" w:ascii="宋体" w:hAnsi="宋体"/>
          <w:color w:val="auto"/>
        </w:rPr>
        <w:t>名。行长对董事会负责，执行董事会的各项决议，负责本行的业务经营和行政管理。副行长协助行长工作。</w:t>
      </w:r>
    </w:p>
    <w:p>
      <w:pPr>
        <w:ind w:firstLine="480" w:firstLineChars="200"/>
        <w:rPr>
          <w:rFonts w:ascii="宋体" w:hAnsi="宋体"/>
          <w:color w:val="auto"/>
        </w:rPr>
      </w:pPr>
      <w:r>
        <w:rPr>
          <w:rFonts w:hint="eastAsia" w:ascii="宋体" w:hAnsi="宋体"/>
          <w:color w:val="auto"/>
        </w:rPr>
        <w:t>行长、副行长每届任期3 年，连聘可以连任。</w:t>
      </w:r>
    </w:p>
    <w:p>
      <w:pPr>
        <w:numPr>
          <w:ilvl w:val="0"/>
          <w:numId w:val="3"/>
        </w:numPr>
        <w:ind w:left="0" w:firstLine="426"/>
        <w:rPr>
          <w:rFonts w:ascii="宋体" w:hAnsi="宋体"/>
          <w:b/>
          <w:color w:val="auto"/>
        </w:rPr>
      </w:pPr>
      <w:r>
        <w:rPr>
          <w:rFonts w:hint="eastAsia" w:ascii="宋体" w:hAnsi="宋体"/>
          <w:color w:val="auto"/>
        </w:rPr>
        <w:t>本章程第五章第一节关于不得担任董事的情形及董事义务的规定同样适用于高级管理人员。</w:t>
      </w:r>
    </w:p>
    <w:p>
      <w:pPr>
        <w:numPr>
          <w:ilvl w:val="0"/>
          <w:numId w:val="3"/>
        </w:numPr>
        <w:ind w:left="0" w:firstLine="426"/>
        <w:rPr>
          <w:rFonts w:hint="eastAsia" w:ascii="宋体" w:hAnsi="宋体"/>
          <w:color w:val="auto"/>
        </w:rPr>
      </w:pPr>
      <w:r>
        <w:rPr>
          <w:rFonts w:hint="eastAsia" w:ascii="宋体" w:hAnsi="宋体"/>
          <w:color w:val="auto"/>
        </w:rPr>
        <w:t>行长对董事会负责，行使下列职权：</w:t>
      </w:r>
    </w:p>
    <w:p>
      <w:pPr>
        <w:ind w:firstLine="480" w:firstLineChars="200"/>
        <w:rPr>
          <w:rFonts w:hint="eastAsia" w:ascii="宋体" w:hAnsi="宋体"/>
          <w:color w:val="auto"/>
        </w:rPr>
      </w:pPr>
      <w:r>
        <w:rPr>
          <w:rFonts w:hint="eastAsia" w:ascii="宋体" w:hAnsi="宋体"/>
          <w:color w:val="auto"/>
        </w:rPr>
        <w:t>（一）主持本行的日常经营管理工作，组织实施董事会决议，并向董事会报告工作；</w:t>
      </w:r>
    </w:p>
    <w:p>
      <w:pPr>
        <w:ind w:firstLine="480" w:firstLineChars="200"/>
        <w:rPr>
          <w:rFonts w:hint="eastAsia" w:ascii="宋体" w:hAnsi="宋体"/>
          <w:color w:val="auto"/>
        </w:rPr>
      </w:pPr>
      <w:r>
        <w:rPr>
          <w:rFonts w:hint="eastAsia" w:ascii="宋体" w:hAnsi="宋体"/>
          <w:color w:val="auto"/>
        </w:rPr>
        <w:t>（二）代表高级管理层向董事会提交本行经营计划和投资方案，经董事会批准后组织实施；</w:t>
      </w:r>
    </w:p>
    <w:p>
      <w:pPr>
        <w:ind w:firstLine="480" w:firstLineChars="200"/>
        <w:rPr>
          <w:rFonts w:hint="eastAsia" w:ascii="宋体" w:hAnsi="宋体"/>
          <w:color w:val="auto"/>
        </w:rPr>
      </w:pPr>
      <w:r>
        <w:rPr>
          <w:rFonts w:hint="eastAsia" w:ascii="宋体" w:hAnsi="宋体"/>
          <w:color w:val="auto"/>
        </w:rPr>
        <w:t>（三）授权高级管理人员、内部各职能部门及分支机构负责人从事经营管理活动；</w:t>
      </w:r>
    </w:p>
    <w:p>
      <w:pPr>
        <w:ind w:firstLine="480" w:firstLineChars="200"/>
        <w:rPr>
          <w:rFonts w:hint="eastAsia" w:ascii="宋体" w:hAnsi="宋体"/>
          <w:color w:val="auto"/>
        </w:rPr>
      </w:pPr>
      <w:r>
        <w:rPr>
          <w:rFonts w:hint="eastAsia" w:ascii="宋体" w:hAnsi="宋体"/>
          <w:color w:val="auto"/>
        </w:rPr>
        <w:t>（四）拟订本行的基本管理制度，拟订本行的洗钱风险管理和合规政策、策略，拟订内部管理架构及重要分支机构的设置方案，报董事会批准；制定本行的日常经营管理规章制度；</w:t>
      </w:r>
    </w:p>
    <w:p>
      <w:pPr>
        <w:ind w:firstLine="480" w:firstLineChars="200"/>
        <w:rPr>
          <w:rFonts w:hint="eastAsia" w:ascii="宋体" w:hAnsi="宋体"/>
          <w:color w:val="auto"/>
        </w:rPr>
      </w:pPr>
      <w:r>
        <w:rPr>
          <w:rFonts w:hint="eastAsia" w:ascii="宋体" w:hAnsi="宋体"/>
          <w:color w:val="auto"/>
        </w:rPr>
        <w:t>（五）提请董事会聘任或者解聘本行副行长等其他高级管理人员；</w:t>
      </w:r>
    </w:p>
    <w:p>
      <w:pPr>
        <w:ind w:firstLine="480" w:firstLineChars="200"/>
        <w:rPr>
          <w:rFonts w:hint="eastAsia" w:ascii="宋体" w:hAnsi="宋体"/>
          <w:color w:val="auto"/>
        </w:rPr>
      </w:pPr>
      <w:r>
        <w:rPr>
          <w:rFonts w:hint="eastAsia" w:ascii="宋体" w:hAnsi="宋体"/>
          <w:color w:val="auto"/>
        </w:rPr>
        <w:t>（六）聘任或者解聘除应由股东、董事会聘任或者解聘以外本行各职能部门及分支机构的负责人，决定其工资、福利、奖惩；</w:t>
      </w:r>
    </w:p>
    <w:p>
      <w:pPr>
        <w:ind w:firstLine="480" w:firstLineChars="200"/>
        <w:rPr>
          <w:rFonts w:hint="eastAsia" w:ascii="宋体" w:hAnsi="宋体"/>
          <w:color w:val="auto"/>
        </w:rPr>
      </w:pPr>
      <w:r>
        <w:rPr>
          <w:rFonts w:hint="eastAsia" w:ascii="宋体" w:hAnsi="宋体"/>
          <w:color w:val="auto"/>
        </w:rPr>
        <w:t>（七）拟订本行职工的工资、福利、奖惩方案，决定本行职工的聘用和解聘；</w:t>
      </w:r>
    </w:p>
    <w:p>
      <w:pPr>
        <w:ind w:firstLine="480" w:firstLineChars="200"/>
        <w:rPr>
          <w:rFonts w:hint="eastAsia" w:ascii="宋体" w:hAnsi="宋体"/>
          <w:color w:val="auto"/>
        </w:rPr>
      </w:pPr>
      <w:r>
        <w:rPr>
          <w:rFonts w:hint="eastAsia" w:ascii="宋体" w:hAnsi="宋体"/>
          <w:color w:val="auto"/>
        </w:rPr>
        <w:t>（八）提议召开董事会临时会议；</w:t>
      </w:r>
    </w:p>
    <w:p>
      <w:pPr>
        <w:ind w:firstLine="480" w:firstLineChars="200"/>
        <w:rPr>
          <w:rFonts w:hint="eastAsia" w:ascii="宋体" w:hAnsi="宋体"/>
          <w:color w:val="auto"/>
        </w:rPr>
      </w:pPr>
      <w:r>
        <w:rPr>
          <w:rFonts w:hint="eastAsia" w:ascii="宋体" w:hAnsi="宋体"/>
          <w:color w:val="auto"/>
        </w:rPr>
        <w:t>（九）在本行发生挤兑等重大突发事件时，采取紧急措施，并立即向银行业监督管理机构和董事会、监事会报告；</w:t>
      </w:r>
    </w:p>
    <w:p>
      <w:pPr>
        <w:ind w:firstLine="480" w:firstLineChars="200"/>
        <w:rPr>
          <w:rFonts w:hint="eastAsia" w:ascii="宋体" w:hAnsi="宋体"/>
          <w:color w:val="auto"/>
        </w:rPr>
      </w:pPr>
      <w:r>
        <w:rPr>
          <w:rFonts w:hint="eastAsia" w:ascii="宋体" w:hAnsi="宋体"/>
          <w:color w:val="auto"/>
        </w:rPr>
        <w:t>（十）其它依据法律、行政法规、监管规定及本章程规定或</w:t>
      </w:r>
      <w:r>
        <w:rPr>
          <w:rFonts w:hint="eastAsia" w:ascii="宋体" w:hAnsi="宋体"/>
          <w:color w:val="auto"/>
          <w:highlight w:val="none"/>
        </w:rPr>
        <w:t>股东决定、董</w:t>
      </w:r>
      <w:r>
        <w:rPr>
          <w:rFonts w:hint="eastAsia" w:ascii="宋体" w:hAnsi="宋体"/>
          <w:color w:val="auto"/>
        </w:rPr>
        <w:t>事会决定由行长行使的职权。</w:t>
      </w:r>
    </w:p>
    <w:p>
      <w:pPr>
        <w:numPr>
          <w:ilvl w:val="0"/>
          <w:numId w:val="3"/>
        </w:numPr>
        <w:ind w:left="0" w:firstLine="426"/>
        <w:rPr>
          <w:rFonts w:ascii="宋体" w:hAnsi="宋体"/>
          <w:color w:val="auto"/>
        </w:rPr>
      </w:pPr>
      <w:r>
        <w:rPr>
          <w:rFonts w:ascii="宋体" w:hAnsi="宋体"/>
          <w:color w:val="auto"/>
        </w:rPr>
        <w:t>根据本行经营活动的需要，高级管理层要建立健全以内部规章制度、经营风险控制</w:t>
      </w:r>
      <w:r>
        <w:rPr>
          <w:rFonts w:hint="eastAsia" w:ascii="宋体" w:hAnsi="宋体"/>
          <w:color w:val="auto"/>
        </w:rPr>
        <w:t>体系</w:t>
      </w:r>
      <w:r>
        <w:rPr>
          <w:rFonts w:ascii="宋体" w:hAnsi="宋体"/>
          <w:color w:val="auto"/>
        </w:rPr>
        <w:t>、信贷审批</w:t>
      </w:r>
      <w:r>
        <w:rPr>
          <w:rFonts w:hint="eastAsia" w:ascii="宋体" w:hAnsi="宋体"/>
          <w:color w:val="auto"/>
        </w:rPr>
        <w:t>体系</w:t>
      </w:r>
      <w:r>
        <w:rPr>
          <w:rFonts w:ascii="宋体" w:hAnsi="宋体"/>
          <w:color w:val="auto"/>
        </w:rPr>
        <w:t>等为主要内容的内部控制机制。</w:t>
      </w:r>
    </w:p>
    <w:p>
      <w:pPr>
        <w:numPr>
          <w:ilvl w:val="0"/>
          <w:numId w:val="3"/>
        </w:numPr>
        <w:ind w:left="0" w:firstLine="426"/>
        <w:rPr>
          <w:rFonts w:ascii="宋体" w:hAnsi="宋体"/>
          <w:color w:val="auto"/>
        </w:rPr>
      </w:pPr>
      <w:r>
        <w:rPr>
          <w:rFonts w:hint="eastAsia" w:ascii="宋体" w:hAnsi="宋体"/>
          <w:color w:val="auto"/>
        </w:rPr>
        <w:t>本行应</w:t>
      </w:r>
      <w:r>
        <w:rPr>
          <w:rFonts w:ascii="宋体" w:hAnsi="宋体"/>
          <w:color w:val="auto"/>
        </w:rPr>
        <w:t>建立高级管理层向董事会定期报告的制度，及时、准确、完整地报告有关本行经营业绩、重要合同、财务状况、风险状况和经营前景等情况。</w:t>
      </w:r>
    </w:p>
    <w:p>
      <w:pPr>
        <w:numPr>
          <w:ilvl w:val="0"/>
          <w:numId w:val="3"/>
        </w:numPr>
        <w:ind w:left="0" w:firstLine="426"/>
        <w:rPr>
          <w:rFonts w:ascii="宋体" w:hAnsi="宋体"/>
          <w:color w:val="auto"/>
        </w:rPr>
      </w:pPr>
      <w:r>
        <w:rPr>
          <w:rFonts w:ascii="宋体" w:hAnsi="宋体"/>
          <w:color w:val="auto"/>
        </w:rPr>
        <w:t>高级管理层提交的需由董事会批准的事项，董事会应及时讨论并做出决定。</w:t>
      </w:r>
    </w:p>
    <w:p>
      <w:pPr>
        <w:numPr>
          <w:ilvl w:val="0"/>
          <w:numId w:val="3"/>
        </w:numPr>
        <w:ind w:left="0" w:firstLine="426"/>
        <w:rPr>
          <w:rFonts w:ascii="宋体" w:hAnsi="宋体"/>
          <w:color w:val="auto"/>
        </w:rPr>
      </w:pPr>
      <w:r>
        <w:rPr>
          <w:rFonts w:ascii="宋体" w:hAnsi="宋体"/>
          <w:color w:val="auto"/>
        </w:rPr>
        <w:t>高级管理层接受监事</w:t>
      </w:r>
      <w:r>
        <w:rPr>
          <w:rFonts w:hint="eastAsia" w:ascii="宋体" w:hAnsi="宋体"/>
          <w:color w:val="auto"/>
        </w:rPr>
        <w:t>会</w:t>
      </w:r>
      <w:r>
        <w:rPr>
          <w:rFonts w:ascii="宋体" w:hAnsi="宋体"/>
          <w:color w:val="auto"/>
        </w:rPr>
        <w:t>的监督，定期向监事</w:t>
      </w:r>
      <w:r>
        <w:rPr>
          <w:rFonts w:hint="eastAsia" w:ascii="宋体" w:hAnsi="宋体"/>
          <w:color w:val="auto"/>
        </w:rPr>
        <w:t>会</w:t>
      </w:r>
      <w:r>
        <w:rPr>
          <w:rFonts w:ascii="宋体" w:hAnsi="宋体"/>
          <w:color w:val="auto"/>
        </w:rPr>
        <w:t>提供有关</w:t>
      </w:r>
      <w:r>
        <w:rPr>
          <w:rFonts w:hint="eastAsia" w:ascii="宋体" w:hAnsi="宋体"/>
          <w:color w:val="auto"/>
        </w:rPr>
        <w:t>本行</w:t>
      </w:r>
      <w:r>
        <w:rPr>
          <w:rFonts w:ascii="宋体" w:hAnsi="宋体"/>
          <w:color w:val="auto"/>
        </w:rPr>
        <w:t>经营业绩、重要合同、财务状况、风险状况和经营前景等情况的信息，主动配合监事依职权进行的检查、审计等活动。</w:t>
      </w:r>
    </w:p>
    <w:p>
      <w:pPr>
        <w:numPr>
          <w:ilvl w:val="0"/>
          <w:numId w:val="3"/>
        </w:numPr>
        <w:ind w:left="0" w:firstLine="426"/>
        <w:rPr>
          <w:rFonts w:ascii="宋体" w:hAnsi="宋体"/>
          <w:color w:val="auto"/>
        </w:rPr>
      </w:pPr>
      <w:r>
        <w:rPr>
          <w:rFonts w:ascii="宋体" w:hAnsi="宋体"/>
          <w:color w:val="auto"/>
        </w:rPr>
        <w:t>行长和其它高级管理人员在行使职权时，应当根据法律、行政法规、</w:t>
      </w:r>
      <w:r>
        <w:rPr>
          <w:rFonts w:hint="eastAsia" w:ascii="宋体" w:hAnsi="宋体"/>
          <w:color w:val="auto"/>
        </w:rPr>
        <w:t>监管规定</w:t>
      </w:r>
      <w:r>
        <w:rPr>
          <w:rFonts w:ascii="宋体" w:hAnsi="宋体"/>
          <w:color w:val="auto"/>
        </w:rPr>
        <w:t>和本章程的规定，履行诚信和勤勉的义务。</w:t>
      </w:r>
    </w:p>
    <w:p>
      <w:pPr>
        <w:numPr>
          <w:ilvl w:val="0"/>
          <w:numId w:val="3"/>
        </w:numPr>
        <w:ind w:left="0" w:firstLine="426"/>
        <w:rPr>
          <w:rFonts w:hint="eastAsia" w:ascii="宋体" w:hAnsi="宋体"/>
          <w:color w:val="auto"/>
          <w:highlight w:val="none"/>
        </w:rPr>
      </w:pPr>
      <w:r>
        <w:rPr>
          <w:rFonts w:hint="eastAsia" w:ascii="宋体" w:hAnsi="宋体"/>
          <w:color w:val="auto"/>
          <w:highlight w:val="none"/>
        </w:rPr>
        <w:t>行长及其它高级管理人员辞职的具体程序和办法，按照本行的相关制度以及其与本行之间的聘用合同规定执行。</w:t>
      </w:r>
    </w:p>
    <w:p>
      <w:pPr>
        <w:ind w:firstLine="480" w:firstLineChars="200"/>
        <w:rPr>
          <w:rFonts w:hint="eastAsia" w:ascii="宋体" w:hAnsi="宋体" w:eastAsia="宋体" w:cs="Times New Roman"/>
          <w:color w:val="auto"/>
          <w:highlight w:val="none"/>
        </w:rPr>
      </w:pPr>
      <w:r>
        <w:rPr>
          <w:rFonts w:hint="eastAsia" w:ascii="宋体" w:hAnsi="宋体"/>
          <w:color w:val="auto"/>
          <w:highlight w:val="none"/>
        </w:rPr>
        <w:t>本行行长、副行长必须在完成离任审计后方可离任，审计结果应向董事会报告，</w:t>
      </w:r>
      <w:r>
        <w:rPr>
          <w:rFonts w:hint="eastAsia" w:ascii="宋体" w:hAnsi="宋体" w:eastAsia="宋体" w:cs="Times New Roman"/>
          <w:color w:val="auto"/>
          <w:highlight w:val="none"/>
          <w:lang w:eastAsia="zh-CN"/>
        </w:rPr>
        <w:t>并报银行业监督管理机构备案。</w:t>
      </w:r>
    </w:p>
    <w:p>
      <w:pPr>
        <w:numPr>
          <w:ilvl w:val="0"/>
          <w:numId w:val="3"/>
        </w:numPr>
        <w:ind w:left="0" w:firstLine="426"/>
        <w:rPr>
          <w:rFonts w:ascii="宋体" w:hAnsi="宋体"/>
          <w:color w:val="auto"/>
        </w:rPr>
      </w:pPr>
      <w:r>
        <w:rPr>
          <w:rFonts w:ascii="宋体" w:hAnsi="宋体"/>
          <w:color w:val="auto"/>
        </w:rPr>
        <w:t>高级管理人员执行本行职务时违反法律、行政法规、</w:t>
      </w:r>
      <w:r>
        <w:rPr>
          <w:rFonts w:hint="eastAsia" w:ascii="宋体" w:hAnsi="宋体"/>
          <w:color w:val="auto"/>
        </w:rPr>
        <w:t>监管规定</w:t>
      </w:r>
      <w:r>
        <w:rPr>
          <w:rFonts w:ascii="宋体" w:hAnsi="宋体"/>
          <w:color w:val="auto"/>
        </w:rPr>
        <w:t>或本章程的规定，给本行造成损失的，应当承担赔偿责任。</w:t>
      </w:r>
    </w:p>
    <w:p>
      <w:pPr>
        <w:jc w:val="center"/>
        <w:rPr>
          <w:rFonts w:ascii="宋体" w:hAnsi="宋体"/>
          <w:color w:val="auto"/>
        </w:rPr>
      </w:pPr>
    </w:p>
    <w:p>
      <w:pPr>
        <w:jc w:val="center"/>
        <w:rPr>
          <w:rFonts w:ascii="宋体" w:hAnsi="宋体"/>
          <w:b/>
          <w:color w:val="auto"/>
        </w:rPr>
      </w:pPr>
      <w:r>
        <w:rPr>
          <w:rFonts w:hint="eastAsia" w:ascii="宋体" w:hAnsi="宋体"/>
          <w:b/>
          <w:color w:val="auto"/>
        </w:rPr>
        <w:t>第七章 监事会</w:t>
      </w:r>
    </w:p>
    <w:p>
      <w:pPr>
        <w:ind w:firstLine="482" w:firstLineChars="200"/>
        <w:rPr>
          <w:rFonts w:ascii="宋体" w:hAnsi="宋体"/>
          <w:b/>
          <w:color w:val="auto"/>
        </w:rPr>
      </w:pPr>
    </w:p>
    <w:p>
      <w:pPr>
        <w:numPr>
          <w:ilvl w:val="0"/>
          <w:numId w:val="3"/>
        </w:numPr>
        <w:ind w:left="0" w:firstLine="426"/>
        <w:rPr>
          <w:rFonts w:hint="eastAsia" w:ascii="宋体" w:hAnsi="宋体"/>
          <w:color w:val="auto"/>
        </w:rPr>
      </w:pPr>
      <w:r>
        <w:rPr>
          <w:rFonts w:hint="eastAsia" w:ascii="宋体" w:hAnsi="宋体"/>
          <w:color w:val="auto"/>
        </w:rPr>
        <w:t>本行设立监事会，由3名监事组成，</w:t>
      </w:r>
      <w:bookmarkStart w:id="22" w:name="OLE_LINK19"/>
      <w:bookmarkStart w:id="23" w:name="OLE_LINK18"/>
      <w:r>
        <w:rPr>
          <w:rFonts w:hint="eastAsia" w:ascii="宋体" w:hAnsi="宋体"/>
          <w:color w:val="auto"/>
        </w:rPr>
        <w:t>职工监事由职工代表大会选举产生，其余监事由股东委派产生</w:t>
      </w:r>
      <w:bookmarkEnd w:id="22"/>
      <w:bookmarkEnd w:id="23"/>
      <w:r>
        <w:rPr>
          <w:rFonts w:hint="eastAsia" w:ascii="宋体" w:hAnsi="宋体"/>
          <w:color w:val="auto"/>
        </w:rPr>
        <w:t>。监事会成员的结构应当符合法律、行政法规及银行业监督管理机构等有权主管机关的规定。董事、高级管理人员不得兼任监事。本行监事的任职资格应符合银行业监督管理机构的规定。</w:t>
      </w:r>
    </w:p>
    <w:p>
      <w:pPr>
        <w:ind w:firstLine="480" w:firstLineChars="200"/>
        <w:rPr>
          <w:rFonts w:hint="eastAsia" w:ascii="宋体" w:hAnsi="宋体"/>
          <w:color w:val="auto"/>
        </w:rPr>
      </w:pPr>
      <w:r>
        <w:rPr>
          <w:rFonts w:hint="eastAsia" w:ascii="宋体" w:hAnsi="宋体"/>
          <w:color w:val="auto"/>
        </w:rPr>
        <w:t>本行监事会设监事长1名。监事长由本行监事担任，以全体监事的过半数选举产生和罢免。监事长每届任期</w:t>
      </w:r>
      <w:r>
        <w:rPr>
          <w:rFonts w:hint="eastAsia" w:ascii="宋体" w:hAnsi="宋体" w:eastAsia="宋体"/>
          <w:color w:val="auto"/>
          <w:lang w:val="en-US" w:eastAsia="zh-CN"/>
        </w:rPr>
        <w:t>3</w:t>
      </w:r>
      <w:r>
        <w:rPr>
          <w:rFonts w:hint="eastAsia" w:ascii="宋体" w:hAnsi="宋体"/>
          <w:color w:val="auto"/>
        </w:rPr>
        <w:t>年，可以连选连任。</w:t>
      </w:r>
    </w:p>
    <w:p>
      <w:pPr>
        <w:ind w:firstLine="480" w:firstLineChars="200"/>
        <w:rPr>
          <w:rFonts w:hint="eastAsia" w:ascii="宋体" w:hAnsi="宋体"/>
          <w:color w:val="auto"/>
        </w:rPr>
      </w:pPr>
      <w:r>
        <w:rPr>
          <w:rFonts w:hint="eastAsia" w:ascii="宋体" w:hAnsi="宋体"/>
          <w:color w:val="auto"/>
        </w:rPr>
        <w:t>监事长召集和主持监事会会议；监事长不能履行职务或者不履行职务的，由半数以上监事共同推举一名监事召集和主持监事会会议。</w:t>
      </w:r>
    </w:p>
    <w:p>
      <w:pPr>
        <w:ind w:firstLine="480" w:firstLineChars="200"/>
        <w:rPr>
          <w:rFonts w:hint="eastAsia" w:ascii="宋体" w:hAnsi="宋体"/>
          <w:color w:val="auto"/>
        </w:rPr>
      </w:pPr>
      <w:r>
        <w:rPr>
          <w:rFonts w:hint="eastAsia" w:ascii="宋体" w:hAnsi="宋体"/>
          <w:color w:val="auto"/>
        </w:rPr>
        <w:t>监事会每季度至少召开一次会议，监事可以提议召开临时监事会会议。监事会决议应当经半数以上监事通过。监事会决议可以采用现场会议表决和书面传签表决两种方式作出。</w:t>
      </w:r>
    </w:p>
    <w:p>
      <w:pPr>
        <w:ind w:firstLine="480" w:firstLineChars="200"/>
        <w:rPr>
          <w:rFonts w:ascii="宋体" w:hAnsi="宋体"/>
          <w:color w:val="auto"/>
        </w:rPr>
      </w:pPr>
      <w:r>
        <w:rPr>
          <w:rFonts w:hint="eastAsia" w:ascii="宋体" w:hAnsi="宋体"/>
          <w:color w:val="auto"/>
        </w:rPr>
        <w:t>监事会应当对所议事项的决定作成会议记录，出席会议的监事应当在会议记录上签名。</w:t>
      </w:r>
    </w:p>
    <w:p>
      <w:pPr>
        <w:numPr>
          <w:ilvl w:val="0"/>
          <w:numId w:val="3"/>
        </w:numPr>
        <w:ind w:left="0" w:firstLine="426"/>
        <w:rPr>
          <w:rFonts w:ascii="宋体" w:hAnsi="宋体"/>
          <w:color w:val="auto"/>
        </w:rPr>
      </w:pPr>
      <w:r>
        <w:rPr>
          <w:rFonts w:hint="eastAsia" w:ascii="宋体" w:hAnsi="宋体"/>
          <w:color w:val="auto"/>
          <w:spacing w:val="-4"/>
        </w:rPr>
        <w:t>本章程第五章第一节关于不得担任董事的情形以及董事义务的规定同样适用于监事。</w:t>
      </w:r>
    </w:p>
    <w:p>
      <w:pPr>
        <w:numPr>
          <w:ilvl w:val="0"/>
          <w:numId w:val="3"/>
        </w:numPr>
        <w:ind w:left="0" w:firstLine="426"/>
        <w:rPr>
          <w:rFonts w:hint="eastAsia" w:ascii="宋体" w:hAnsi="宋体"/>
          <w:color w:val="auto"/>
        </w:rPr>
      </w:pPr>
      <w:r>
        <w:rPr>
          <w:rFonts w:hint="eastAsia" w:ascii="宋体" w:hAnsi="宋体"/>
          <w:color w:val="auto"/>
        </w:rPr>
        <w:t>监事每届任期3年。监事任期届满，连选可以连任。监事任期届满未及时改选，或者监事在任期内辞职的，在改选出的监事就任前，原监事仍应当依照法律、行政法规、监管规定和本章程的规定，履行监事职务。</w:t>
      </w:r>
    </w:p>
    <w:p>
      <w:pPr>
        <w:numPr>
          <w:ilvl w:val="0"/>
          <w:numId w:val="3"/>
        </w:numPr>
        <w:ind w:left="0" w:firstLine="426"/>
        <w:rPr>
          <w:rFonts w:hint="eastAsia" w:ascii="宋体" w:hAnsi="宋体"/>
          <w:color w:val="auto"/>
        </w:rPr>
      </w:pPr>
      <w:r>
        <w:rPr>
          <w:rFonts w:hint="eastAsia" w:ascii="宋体" w:hAnsi="宋体"/>
          <w:color w:val="auto"/>
        </w:rPr>
        <w:t>监事会对股东负责，行使下列职权：</w:t>
      </w:r>
    </w:p>
    <w:p>
      <w:pPr>
        <w:ind w:firstLine="562"/>
        <w:rPr>
          <w:rFonts w:hint="eastAsia" w:ascii="宋体" w:hAnsi="宋体"/>
          <w:color w:val="auto"/>
        </w:rPr>
      </w:pPr>
      <w:r>
        <w:rPr>
          <w:rFonts w:hint="eastAsia" w:ascii="宋体" w:hAnsi="宋体"/>
          <w:color w:val="auto"/>
        </w:rPr>
        <w:t>（一）对董事会编制的本行定期报告进行审核并提出书面审核意见；</w:t>
      </w:r>
    </w:p>
    <w:p>
      <w:pPr>
        <w:ind w:firstLine="562"/>
        <w:rPr>
          <w:rFonts w:hint="eastAsia" w:ascii="宋体" w:hAnsi="宋体"/>
          <w:color w:val="auto"/>
        </w:rPr>
      </w:pPr>
      <w:r>
        <w:rPr>
          <w:rFonts w:hint="eastAsia" w:ascii="宋体" w:hAnsi="宋体"/>
          <w:color w:val="auto"/>
        </w:rPr>
        <w:t>（二）对本行董事和高级管理人员的履职行为和尽职情况进行监督；</w:t>
      </w:r>
    </w:p>
    <w:p>
      <w:pPr>
        <w:ind w:firstLine="562"/>
        <w:rPr>
          <w:rFonts w:hint="eastAsia" w:ascii="宋体" w:hAnsi="宋体"/>
          <w:color w:val="auto"/>
        </w:rPr>
      </w:pPr>
      <w:r>
        <w:rPr>
          <w:rFonts w:hint="eastAsia" w:ascii="宋体" w:hAnsi="宋体"/>
          <w:color w:val="auto"/>
        </w:rPr>
        <w:t>（三）对董事和高级管理人员进行质询；</w:t>
      </w:r>
    </w:p>
    <w:p>
      <w:pPr>
        <w:ind w:firstLine="562"/>
        <w:rPr>
          <w:rFonts w:hint="eastAsia" w:ascii="宋体" w:hAnsi="宋体"/>
          <w:color w:val="auto"/>
        </w:rPr>
      </w:pPr>
      <w:r>
        <w:rPr>
          <w:rFonts w:hint="eastAsia" w:ascii="宋体" w:hAnsi="宋体"/>
          <w:color w:val="auto"/>
        </w:rPr>
        <w:t>（四）要求董事和高级管理人员纠正其损害本行利益的行为；</w:t>
      </w:r>
    </w:p>
    <w:p>
      <w:pPr>
        <w:ind w:firstLine="562"/>
        <w:rPr>
          <w:rFonts w:hint="eastAsia" w:ascii="宋体" w:hAnsi="宋体"/>
          <w:color w:val="auto"/>
        </w:rPr>
      </w:pPr>
      <w:r>
        <w:rPr>
          <w:rFonts w:hint="eastAsia" w:ascii="宋体" w:hAnsi="宋体"/>
          <w:color w:val="auto"/>
        </w:rPr>
        <w:t>（五）对违反法律、行政法规、监管规定、本章程或股东决定的董事和高级管理人员提出罢免建议或依法提起诉讼；</w:t>
      </w:r>
    </w:p>
    <w:p>
      <w:pPr>
        <w:ind w:firstLine="562"/>
        <w:rPr>
          <w:rFonts w:hint="eastAsia" w:ascii="宋体" w:hAnsi="宋体"/>
          <w:color w:val="auto"/>
        </w:rPr>
      </w:pPr>
      <w:r>
        <w:rPr>
          <w:rFonts w:hint="eastAsia" w:ascii="宋体" w:hAnsi="宋体"/>
          <w:color w:val="auto"/>
        </w:rPr>
        <w:t>（六）检查本行的财务；</w:t>
      </w:r>
    </w:p>
    <w:p>
      <w:pPr>
        <w:ind w:firstLine="562"/>
        <w:rPr>
          <w:rFonts w:hint="eastAsia" w:ascii="宋体" w:hAnsi="宋体"/>
          <w:color w:val="auto"/>
        </w:rPr>
      </w:pPr>
      <w:r>
        <w:rPr>
          <w:rFonts w:hint="eastAsia" w:ascii="宋体" w:hAnsi="宋体"/>
          <w:color w:val="auto"/>
        </w:rPr>
        <w:t>（七）向股东提出议案；</w:t>
      </w:r>
    </w:p>
    <w:p>
      <w:pPr>
        <w:ind w:firstLine="562"/>
        <w:rPr>
          <w:rFonts w:hint="eastAsia" w:ascii="宋体" w:hAnsi="宋体"/>
          <w:color w:val="auto"/>
        </w:rPr>
      </w:pPr>
      <w:r>
        <w:rPr>
          <w:rFonts w:hint="eastAsia" w:ascii="宋体" w:hAnsi="宋体"/>
          <w:color w:val="auto"/>
        </w:rPr>
        <w:t>（八）发现本行经营情况异常，可以进行调查；必要时，可以聘请会计师事务所、律师事务所等专业机构协助其工作，费用由本行承担；</w:t>
      </w:r>
    </w:p>
    <w:p>
      <w:pPr>
        <w:ind w:firstLine="562"/>
        <w:rPr>
          <w:rFonts w:hint="eastAsia" w:ascii="宋体" w:hAnsi="宋体"/>
          <w:color w:val="auto"/>
        </w:rPr>
      </w:pPr>
      <w:r>
        <w:rPr>
          <w:rFonts w:hint="eastAsia" w:ascii="宋体" w:hAnsi="宋体"/>
          <w:color w:val="auto"/>
        </w:rPr>
        <w:t>（九）法律、行政法规、监管规定或本章程规定以及股东授予的其它职权。</w:t>
      </w:r>
    </w:p>
    <w:p>
      <w:pPr>
        <w:numPr>
          <w:ilvl w:val="0"/>
          <w:numId w:val="3"/>
        </w:numPr>
        <w:ind w:left="0" w:firstLine="426"/>
        <w:rPr>
          <w:rFonts w:ascii="宋体" w:hAnsi="宋体"/>
          <w:color w:val="auto"/>
        </w:rPr>
      </w:pPr>
      <w:r>
        <w:rPr>
          <w:rFonts w:hint="eastAsia" w:ascii="宋体" w:hAnsi="宋体"/>
          <w:color w:val="auto"/>
        </w:rPr>
        <w:t>监事可以列席董事会会议,并对董事会决议事项提出质询或者建议，但不享有表决权。监事认为必要时，可以列席高级管理层会议。</w:t>
      </w:r>
    </w:p>
    <w:p>
      <w:pPr>
        <w:numPr>
          <w:ilvl w:val="0"/>
          <w:numId w:val="3"/>
        </w:numPr>
        <w:ind w:left="0" w:firstLine="426"/>
        <w:rPr>
          <w:rFonts w:ascii="宋体" w:hAnsi="宋体"/>
          <w:color w:val="auto"/>
        </w:rPr>
      </w:pPr>
      <w:r>
        <w:rPr>
          <w:rFonts w:hint="eastAsia" w:ascii="宋体" w:hAnsi="宋体"/>
          <w:color w:val="auto"/>
        </w:rPr>
        <w:t>监事应当遵守法律、行政法规、监管规定和本章程的规定，履行忠实、诚信和勤勉的监督职责。不得利用职权收受贿赂或者其他非法收入，不得侵占本行的财产。</w:t>
      </w:r>
    </w:p>
    <w:p>
      <w:pPr>
        <w:numPr>
          <w:ilvl w:val="0"/>
          <w:numId w:val="3"/>
        </w:numPr>
        <w:ind w:left="0" w:firstLine="426"/>
        <w:rPr>
          <w:rFonts w:ascii="宋体" w:hAnsi="宋体"/>
          <w:color w:val="auto"/>
        </w:rPr>
      </w:pPr>
      <w:r>
        <w:rPr>
          <w:rFonts w:hint="eastAsia" w:ascii="宋体" w:hAnsi="宋体"/>
          <w:color w:val="auto"/>
        </w:rPr>
        <w:t>监事可以在任期届满以前提出辞职，本章程有关董事辞职的规定，适用于监事。</w:t>
      </w:r>
    </w:p>
    <w:p>
      <w:pPr>
        <w:numPr>
          <w:ilvl w:val="0"/>
          <w:numId w:val="3"/>
        </w:numPr>
        <w:ind w:left="0" w:firstLine="426"/>
        <w:rPr>
          <w:rFonts w:ascii="宋体" w:hAnsi="宋体"/>
          <w:color w:val="auto"/>
        </w:rPr>
      </w:pPr>
      <w:r>
        <w:rPr>
          <w:rFonts w:ascii="宋体" w:hAnsi="宋体"/>
          <w:color w:val="auto"/>
        </w:rPr>
        <w:t>监事执行本行职务时违反法律、行政法规、</w:t>
      </w:r>
      <w:r>
        <w:rPr>
          <w:rFonts w:hint="eastAsia" w:ascii="宋体" w:hAnsi="宋体"/>
          <w:color w:val="auto"/>
        </w:rPr>
        <w:t>监管规定</w:t>
      </w:r>
      <w:r>
        <w:rPr>
          <w:rFonts w:ascii="宋体" w:hAnsi="宋体"/>
          <w:color w:val="auto"/>
        </w:rPr>
        <w:t>或本章程的规定</w:t>
      </w:r>
      <w:r>
        <w:rPr>
          <w:rFonts w:hint="eastAsia" w:ascii="宋体" w:hAnsi="宋体"/>
          <w:color w:val="auto"/>
        </w:rPr>
        <w:t>或</w:t>
      </w:r>
      <w:r>
        <w:rPr>
          <w:rFonts w:ascii="宋体" w:hAnsi="宋体"/>
          <w:color w:val="auto"/>
        </w:rPr>
        <w:t>利用其关联关系损害本行利益，给本行造成损失的，应当承担赔偿责任。</w:t>
      </w:r>
    </w:p>
    <w:p>
      <w:pPr>
        <w:jc w:val="center"/>
        <w:rPr>
          <w:rFonts w:ascii="宋体" w:hAnsi="宋体"/>
          <w:color w:val="auto"/>
        </w:rPr>
      </w:pPr>
    </w:p>
    <w:p>
      <w:pPr>
        <w:jc w:val="center"/>
        <w:rPr>
          <w:rFonts w:ascii="宋体" w:hAnsi="宋体"/>
          <w:b/>
          <w:color w:val="auto"/>
        </w:rPr>
      </w:pPr>
      <w:r>
        <w:rPr>
          <w:rFonts w:hint="eastAsia" w:ascii="宋体" w:hAnsi="宋体"/>
          <w:b/>
          <w:color w:val="auto"/>
        </w:rPr>
        <w:t>第八章 财务会计制度、利润分配和审计</w:t>
      </w:r>
    </w:p>
    <w:p>
      <w:pPr>
        <w:jc w:val="center"/>
        <w:rPr>
          <w:rFonts w:ascii="宋体" w:hAnsi="宋体"/>
          <w:color w:val="auto"/>
        </w:rPr>
      </w:pPr>
    </w:p>
    <w:p>
      <w:pPr>
        <w:numPr>
          <w:ilvl w:val="0"/>
          <w:numId w:val="4"/>
        </w:numPr>
        <w:jc w:val="center"/>
        <w:rPr>
          <w:rFonts w:ascii="宋体" w:hAnsi="宋体"/>
          <w:color w:val="auto"/>
        </w:rPr>
      </w:pPr>
      <w:r>
        <w:rPr>
          <w:rFonts w:hint="eastAsia" w:ascii="宋体" w:hAnsi="宋体"/>
          <w:color w:val="auto"/>
        </w:rPr>
        <w:t>财务会计制度</w:t>
      </w:r>
    </w:p>
    <w:p>
      <w:pPr>
        <w:numPr>
          <w:ilvl w:val="0"/>
          <w:numId w:val="3"/>
        </w:numPr>
        <w:ind w:left="0" w:firstLine="426"/>
        <w:rPr>
          <w:rFonts w:ascii="宋体" w:hAnsi="宋体"/>
          <w:color w:val="auto"/>
        </w:rPr>
      </w:pPr>
      <w:r>
        <w:rPr>
          <w:rFonts w:hint="eastAsia" w:ascii="宋体" w:hAnsi="宋体"/>
          <w:color w:val="auto"/>
        </w:rPr>
        <w:t>本行依照法律、行政法规和国家有关部门的规定，制定本行的财务、会计制度。</w:t>
      </w:r>
    </w:p>
    <w:p>
      <w:pPr>
        <w:numPr>
          <w:ilvl w:val="0"/>
          <w:numId w:val="3"/>
        </w:numPr>
        <w:ind w:left="0" w:firstLine="426"/>
        <w:rPr>
          <w:rFonts w:ascii="宋体" w:hAnsi="宋体"/>
          <w:color w:val="auto"/>
        </w:rPr>
      </w:pPr>
      <w:r>
        <w:rPr>
          <w:rFonts w:hint="eastAsia" w:ascii="宋体" w:hAnsi="宋体"/>
          <w:color w:val="auto"/>
        </w:rPr>
        <w:t>本行会计年度为公历1月1日至12月31日。本行应当在每一会计年度终了后两个月内编制本行年度财务报告，经董事会审议通过后，向股东报告。董事会或股东要求时，应依法经有资格的会计师事务所审计。</w:t>
      </w:r>
    </w:p>
    <w:p>
      <w:pPr>
        <w:numPr>
          <w:ilvl w:val="0"/>
          <w:numId w:val="3"/>
        </w:numPr>
        <w:ind w:left="0" w:firstLine="426"/>
        <w:rPr>
          <w:rFonts w:ascii="宋体" w:hAnsi="宋体"/>
          <w:color w:val="auto"/>
        </w:rPr>
      </w:pPr>
      <w:r>
        <w:rPr>
          <w:rFonts w:hint="eastAsia" w:ascii="宋体" w:hAnsi="宋体" w:cs="宋体"/>
          <w:color w:val="auto"/>
        </w:rPr>
        <w:t>本行除法定的会计账册外，不另立会计账册。本行的资产，不以任何个人名义开立账户存储。</w:t>
      </w:r>
    </w:p>
    <w:p>
      <w:pPr>
        <w:ind w:firstLine="480" w:firstLineChars="200"/>
        <w:rPr>
          <w:rFonts w:ascii="宋体" w:hAnsi="宋体"/>
          <w:color w:val="auto"/>
        </w:rPr>
      </w:pPr>
    </w:p>
    <w:p>
      <w:pPr>
        <w:jc w:val="center"/>
        <w:rPr>
          <w:rFonts w:ascii="宋体" w:hAnsi="宋体"/>
          <w:color w:val="auto"/>
        </w:rPr>
      </w:pPr>
      <w:r>
        <w:rPr>
          <w:rFonts w:hint="eastAsia" w:ascii="宋体" w:hAnsi="宋体"/>
          <w:color w:val="auto"/>
        </w:rPr>
        <w:t>第二节 利润分配</w:t>
      </w:r>
    </w:p>
    <w:p>
      <w:pPr>
        <w:numPr>
          <w:ilvl w:val="0"/>
          <w:numId w:val="3"/>
        </w:numPr>
        <w:ind w:left="0" w:firstLine="426"/>
        <w:rPr>
          <w:rFonts w:hint="eastAsia" w:ascii="宋体" w:hAnsi="宋体" w:cs="宋体"/>
          <w:color w:val="auto"/>
        </w:rPr>
      </w:pPr>
      <w:r>
        <w:rPr>
          <w:rFonts w:hint="eastAsia" w:ascii="宋体" w:hAnsi="宋体" w:cs="宋体"/>
          <w:color w:val="auto"/>
        </w:rPr>
        <w:t>本行交纳所得税后的利润，按下列顺序分配：（一） 弥补以前年度的亏损；（二）提取法定公积金百分之十；（三）提取一般准备；（四）提取任意公积金；（五）按股东持有的出资比例分配利润。</w:t>
      </w:r>
    </w:p>
    <w:p>
      <w:pPr>
        <w:ind w:firstLine="562"/>
        <w:rPr>
          <w:rFonts w:hint="eastAsia" w:ascii="宋体" w:hAnsi="宋体" w:cs="宋体"/>
          <w:color w:val="auto"/>
        </w:rPr>
      </w:pPr>
      <w:r>
        <w:rPr>
          <w:rFonts w:hint="eastAsia" w:ascii="宋体" w:hAnsi="宋体" w:cs="宋体"/>
          <w:color w:val="auto"/>
        </w:rPr>
        <w:t>本行法定公积金累计额为本行注册资本的50%以上的，可以不再提取。提取法定公积金后，是否提取任意公积金由股东决定。</w:t>
      </w:r>
    </w:p>
    <w:p>
      <w:pPr>
        <w:ind w:firstLine="562"/>
        <w:rPr>
          <w:rFonts w:hint="eastAsia" w:ascii="宋体" w:hAnsi="宋体" w:cs="宋体"/>
          <w:color w:val="auto"/>
        </w:rPr>
      </w:pPr>
      <w:r>
        <w:rPr>
          <w:rFonts w:hint="eastAsia" w:ascii="宋体" w:hAnsi="宋体" w:cs="宋体"/>
          <w:color w:val="auto"/>
        </w:rPr>
        <w:t>本行的法定公积金不足以弥补以前年度亏损的，在依照前款规定提取法定公积金之前，应当先用当年利润弥补亏损。</w:t>
      </w:r>
    </w:p>
    <w:p>
      <w:pPr>
        <w:ind w:firstLine="562"/>
        <w:rPr>
          <w:rFonts w:hint="eastAsia" w:ascii="宋体" w:hAnsi="宋体" w:cs="宋体"/>
          <w:color w:val="auto"/>
        </w:rPr>
      </w:pPr>
      <w:r>
        <w:rPr>
          <w:rFonts w:hint="eastAsia" w:ascii="宋体" w:hAnsi="宋体" w:cs="宋体"/>
          <w:color w:val="auto"/>
        </w:rPr>
        <w:t>本行弥补亏损和提取公积金、一般准备之后所余税后利润，按照股东持有的股权比例分配。</w:t>
      </w:r>
    </w:p>
    <w:p>
      <w:pPr>
        <w:ind w:firstLine="562"/>
        <w:rPr>
          <w:rFonts w:hint="eastAsia" w:ascii="宋体" w:hAnsi="宋体" w:cs="宋体"/>
          <w:color w:val="auto"/>
        </w:rPr>
      </w:pPr>
      <w:r>
        <w:rPr>
          <w:rFonts w:hint="eastAsia" w:ascii="宋体" w:hAnsi="宋体" w:cs="宋体"/>
          <w:color w:val="auto"/>
        </w:rPr>
        <w:t>股东违反前款规定，在本行弥补亏损和提取法定公积金、一般准备之前向股东分配利润的，股东必须将违反规定分配的利润退还本行。</w:t>
      </w:r>
    </w:p>
    <w:p>
      <w:pPr>
        <w:numPr>
          <w:ilvl w:val="0"/>
          <w:numId w:val="3"/>
        </w:numPr>
        <w:ind w:left="0" w:firstLine="426"/>
        <w:rPr>
          <w:rFonts w:ascii="宋体" w:hAnsi="宋体"/>
          <w:color w:val="auto"/>
        </w:rPr>
      </w:pPr>
      <w:r>
        <w:rPr>
          <w:rFonts w:ascii="宋体" w:hAnsi="宋体"/>
          <w:color w:val="auto"/>
        </w:rPr>
        <w:t>本行的公积金用于弥补本行的亏损、扩大本行经营或者转增本行资本。但是，资本公积金将不用于弥补本行的亏损。</w:t>
      </w:r>
    </w:p>
    <w:p>
      <w:pPr>
        <w:ind w:firstLine="562"/>
        <w:rPr>
          <w:rFonts w:ascii="宋体" w:hAnsi="宋体"/>
          <w:color w:val="auto"/>
        </w:rPr>
      </w:pPr>
      <w:r>
        <w:rPr>
          <w:rFonts w:ascii="宋体" w:hAnsi="宋体"/>
          <w:color w:val="auto"/>
        </w:rPr>
        <w:t>法定公积金转为资本时，所留存的该项公积金将不少于转增前本行注册资本的25%。</w:t>
      </w:r>
    </w:p>
    <w:p>
      <w:pPr>
        <w:numPr>
          <w:ilvl w:val="0"/>
          <w:numId w:val="3"/>
        </w:numPr>
        <w:ind w:left="0" w:firstLine="426"/>
        <w:rPr>
          <w:rFonts w:ascii="宋体" w:hAnsi="宋体"/>
          <w:color w:val="auto"/>
        </w:rPr>
      </w:pPr>
      <w:r>
        <w:rPr>
          <w:rFonts w:ascii="宋体" w:hAnsi="宋体"/>
          <w:color w:val="auto"/>
        </w:rPr>
        <w:t>本行股东对利润分配方案作出</w:t>
      </w:r>
      <w:r>
        <w:rPr>
          <w:rFonts w:hint="eastAsia" w:ascii="宋体" w:hAnsi="宋体"/>
          <w:color w:val="auto"/>
        </w:rPr>
        <w:t>决定</w:t>
      </w:r>
      <w:r>
        <w:rPr>
          <w:rFonts w:ascii="宋体" w:hAnsi="宋体"/>
          <w:color w:val="auto"/>
        </w:rPr>
        <w:t>后，本行董事会须在股东</w:t>
      </w:r>
      <w:r>
        <w:rPr>
          <w:rFonts w:hint="eastAsia" w:ascii="宋体" w:hAnsi="宋体"/>
          <w:color w:val="auto"/>
        </w:rPr>
        <w:t>决定</w:t>
      </w:r>
      <w:r>
        <w:rPr>
          <w:rFonts w:ascii="宋体" w:hAnsi="宋体"/>
          <w:color w:val="auto"/>
        </w:rPr>
        <w:t>作出后2 个月内完成</w:t>
      </w:r>
      <w:r>
        <w:rPr>
          <w:rFonts w:hint="eastAsia" w:ascii="宋体" w:hAnsi="宋体"/>
          <w:color w:val="auto"/>
        </w:rPr>
        <w:t>股东利润分配</w:t>
      </w:r>
      <w:r>
        <w:rPr>
          <w:rFonts w:ascii="宋体" w:hAnsi="宋体"/>
          <w:color w:val="auto"/>
        </w:rPr>
        <w:t>事项。</w:t>
      </w:r>
    </w:p>
    <w:p>
      <w:pPr>
        <w:numPr>
          <w:ilvl w:val="0"/>
          <w:numId w:val="3"/>
        </w:numPr>
        <w:ind w:left="0" w:firstLine="426"/>
        <w:rPr>
          <w:rFonts w:ascii="宋体" w:hAnsi="宋体"/>
          <w:color w:val="auto"/>
        </w:rPr>
      </w:pPr>
      <w:r>
        <w:rPr>
          <w:rFonts w:hint="eastAsia" w:ascii="宋体" w:hAnsi="宋体"/>
          <w:color w:val="auto"/>
        </w:rPr>
        <w:t>本行应本着重视股东合理投资回报，同时兼顾本行合理资本需求的原则，在盈利和资本充足率满足持续经营和长远发展的前提下，实施积极的利润分配方法。</w:t>
      </w:r>
    </w:p>
    <w:p>
      <w:pPr>
        <w:ind w:firstLine="562"/>
        <w:rPr>
          <w:rFonts w:ascii="宋体" w:hAnsi="宋体"/>
          <w:color w:val="auto"/>
        </w:rPr>
      </w:pPr>
    </w:p>
    <w:p>
      <w:pPr>
        <w:jc w:val="center"/>
        <w:rPr>
          <w:rFonts w:ascii="宋体" w:hAnsi="宋体"/>
          <w:color w:val="auto"/>
        </w:rPr>
      </w:pPr>
      <w:r>
        <w:rPr>
          <w:rFonts w:hint="eastAsia" w:ascii="宋体" w:hAnsi="宋体"/>
          <w:color w:val="auto"/>
        </w:rPr>
        <w:t>第三节 审计</w:t>
      </w:r>
    </w:p>
    <w:p>
      <w:pPr>
        <w:numPr>
          <w:ilvl w:val="0"/>
          <w:numId w:val="3"/>
        </w:numPr>
        <w:ind w:left="0" w:firstLine="426"/>
        <w:rPr>
          <w:rFonts w:ascii="宋体" w:hAnsi="宋体"/>
          <w:color w:val="auto"/>
        </w:rPr>
      </w:pPr>
      <w:r>
        <w:rPr>
          <w:rFonts w:hint="eastAsia" w:ascii="宋体" w:hAnsi="宋体"/>
          <w:color w:val="auto"/>
        </w:rPr>
        <w:t>本行实行审计制度，对本行财务收支和经济活动进行内部审计监督。在本行设立内审部门之前，本行董事会可委托主发起行内审部门承担对本行的内部审计工作。</w:t>
      </w:r>
    </w:p>
    <w:p>
      <w:pPr>
        <w:numPr>
          <w:ilvl w:val="0"/>
          <w:numId w:val="3"/>
        </w:numPr>
        <w:ind w:left="0" w:firstLine="426"/>
        <w:rPr>
          <w:rFonts w:ascii="宋体" w:hAnsi="宋体"/>
          <w:color w:val="auto"/>
        </w:rPr>
      </w:pPr>
      <w:r>
        <w:rPr>
          <w:rFonts w:hint="eastAsia" w:ascii="宋体" w:hAnsi="宋体"/>
          <w:color w:val="auto"/>
        </w:rPr>
        <w:t>本行内部审计工作应向董事会报告。</w:t>
      </w:r>
    </w:p>
    <w:p>
      <w:pPr>
        <w:numPr>
          <w:ilvl w:val="0"/>
          <w:numId w:val="3"/>
        </w:numPr>
        <w:ind w:left="0" w:firstLine="426"/>
        <w:rPr>
          <w:rFonts w:ascii="宋体" w:hAnsi="宋体"/>
          <w:color w:val="auto"/>
        </w:rPr>
      </w:pPr>
      <w:r>
        <w:rPr>
          <w:rFonts w:hint="eastAsia" w:ascii="宋体" w:hAnsi="宋体"/>
          <w:color w:val="auto"/>
        </w:rPr>
        <w:t>本行建立信息披露制度，并按照国务院</w:t>
      </w:r>
      <w:r>
        <w:rPr>
          <w:rFonts w:ascii="宋体" w:hAnsi="宋体"/>
          <w:color w:val="auto"/>
        </w:rPr>
        <w:t>银行业监督管理机构的规定</w:t>
      </w:r>
      <w:r>
        <w:rPr>
          <w:rFonts w:hint="eastAsia" w:ascii="宋体" w:hAnsi="宋体"/>
          <w:color w:val="auto"/>
        </w:rPr>
        <w:t>或股东的要求</w:t>
      </w:r>
      <w:r>
        <w:rPr>
          <w:rFonts w:ascii="宋体" w:hAnsi="宋体"/>
          <w:color w:val="auto"/>
        </w:rPr>
        <w:t>，</w:t>
      </w:r>
      <w:r>
        <w:rPr>
          <w:rFonts w:hint="eastAsia" w:ascii="宋体" w:hAnsi="宋体"/>
          <w:color w:val="auto"/>
        </w:rPr>
        <w:t>及时披露年度经营情况、重大事项等信息</w:t>
      </w:r>
      <w:r>
        <w:rPr>
          <w:rFonts w:ascii="宋体" w:hAnsi="宋体"/>
          <w:color w:val="auto"/>
        </w:rPr>
        <w:t>。</w:t>
      </w:r>
    </w:p>
    <w:p>
      <w:pPr>
        <w:numPr>
          <w:ilvl w:val="0"/>
          <w:numId w:val="3"/>
        </w:numPr>
        <w:ind w:left="0" w:firstLine="426"/>
        <w:rPr>
          <w:rFonts w:ascii="宋体" w:hAnsi="宋体"/>
          <w:color w:val="auto"/>
        </w:rPr>
      </w:pPr>
      <w:r>
        <w:rPr>
          <w:rFonts w:hint="eastAsia" w:ascii="宋体" w:hAnsi="宋体"/>
          <w:color w:val="auto"/>
        </w:rPr>
        <w:t>在股东要求时或监管机构规定情形下，本行聘用符合国家有关规定的、独立的会计师事务所，审计本行的年度财务报告，并审核本行的其他财务报告。</w:t>
      </w:r>
    </w:p>
    <w:p>
      <w:pPr>
        <w:numPr>
          <w:ilvl w:val="0"/>
          <w:numId w:val="3"/>
        </w:numPr>
        <w:ind w:left="0" w:firstLine="426"/>
        <w:rPr>
          <w:rFonts w:ascii="宋体" w:hAnsi="宋体"/>
          <w:color w:val="auto"/>
        </w:rPr>
      </w:pPr>
      <w:r>
        <w:rPr>
          <w:rFonts w:hint="eastAsia" w:ascii="宋体" w:hAnsi="宋体"/>
          <w:color w:val="auto"/>
        </w:rPr>
        <w:t>经本行聘用的会计师事务所有权查阅本行账簿、记录和凭证，并有权要求本行的董事、高级管理人员提供有关的资料和说明并采取一切合理措施提供为会计师事务所履行职务所必需的其分支机构的资料和说明。</w:t>
      </w:r>
    </w:p>
    <w:p>
      <w:pPr>
        <w:numPr>
          <w:ilvl w:val="0"/>
          <w:numId w:val="3"/>
        </w:numPr>
        <w:ind w:left="0" w:firstLine="426"/>
        <w:rPr>
          <w:rFonts w:hint="eastAsia" w:ascii="宋体" w:hAnsi="宋体"/>
          <w:color w:val="auto"/>
        </w:rPr>
      </w:pPr>
      <w:bookmarkStart w:id="24" w:name="_Toc250665256"/>
      <w:bookmarkEnd w:id="24"/>
      <w:bookmarkStart w:id="25" w:name="_DV_M170"/>
      <w:bookmarkEnd w:id="25"/>
      <w:bookmarkStart w:id="26" w:name="_Toc250665253"/>
      <w:bookmarkEnd w:id="26"/>
      <w:bookmarkStart w:id="27" w:name="_Toc250665254"/>
      <w:bookmarkEnd w:id="27"/>
      <w:bookmarkStart w:id="28" w:name="_Toc250665255"/>
      <w:bookmarkEnd w:id="28"/>
      <w:bookmarkStart w:id="29" w:name="_DV_M171"/>
      <w:bookmarkEnd w:id="29"/>
      <w:r>
        <w:rPr>
          <w:rFonts w:hint="eastAsia" w:ascii="宋体" w:hAnsi="宋体"/>
          <w:color w:val="auto"/>
        </w:rPr>
        <w:t>本行聘用、解聘或者不再续聘会计师事务所由股东作出决定，并按有关规定报银行业监督管理机构等有权主管机关备案。</w:t>
      </w:r>
    </w:p>
    <w:p>
      <w:pPr>
        <w:ind w:firstLine="562"/>
        <w:rPr>
          <w:rFonts w:hint="eastAsia" w:ascii="宋体" w:hAnsi="宋体"/>
          <w:color w:val="auto"/>
        </w:rPr>
      </w:pPr>
      <w:r>
        <w:rPr>
          <w:rFonts w:hint="eastAsia" w:ascii="宋体" w:hAnsi="宋体"/>
          <w:color w:val="auto"/>
        </w:rPr>
        <w:t>本行解聘或者不再续聘会计师事务所时，应在提交股东作出决定之前至少提前30天通知会计师事务所。本行股东就解聘会计师事务所作出</w:t>
      </w:r>
      <w:r>
        <w:rPr>
          <w:rFonts w:ascii="宋体" w:hAnsi="宋体"/>
          <w:color w:val="auto"/>
        </w:rPr>
        <w:t>决定</w:t>
      </w:r>
      <w:r>
        <w:rPr>
          <w:rFonts w:hint="eastAsia" w:ascii="宋体" w:hAnsi="宋体"/>
          <w:color w:val="auto"/>
        </w:rPr>
        <w:t>时，允许会计师事务所陈述意见。会计师事务所提出辞聘的，应当向股东说明本行有无不当情形。</w:t>
      </w:r>
    </w:p>
    <w:p>
      <w:pPr>
        <w:ind w:firstLine="562"/>
        <w:rPr>
          <w:rFonts w:hint="eastAsia" w:ascii="宋体" w:hAnsi="宋体"/>
          <w:color w:val="auto"/>
          <w:highlight w:val="none"/>
        </w:rPr>
      </w:pPr>
      <w:r>
        <w:rPr>
          <w:rFonts w:hint="eastAsia" w:ascii="宋体" w:hAnsi="宋体"/>
          <w:color w:val="auto"/>
          <w:highlight w:val="none"/>
        </w:rPr>
        <w:t>会计师事务所的报酬或者确定报酬的方式由股东决定。</w:t>
      </w:r>
    </w:p>
    <w:p>
      <w:pPr>
        <w:numPr>
          <w:ilvl w:val="0"/>
          <w:numId w:val="3"/>
        </w:numPr>
        <w:ind w:left="0" w:firstLine="426"/>
        <w:rPr>
          <w:rFonts w:ascii="宋体" w:hAnsi="宋体"/>
          <w:color w:val="auto"/>
          <w:lang w:val="en-AU"/>
        </w:rPr>
      </w:pPr>
      <w:r>
        <w:rPr>
          <w:rFonts w:hint="eastAsia" w:ascii="宋体" w:hAnsi="宋体"/>
          <w:color w:val="auto"/>
        </w:rPr>
        <w:t>如本行出现某些重要事件（包括但不限于欺诈、行贿、重要记录丢失），股东可以要求本行聘用注册会计师，在不影响本行正常运营的前提下审查本行的财务记录和程序。</w:t>
      </w:r>
    </w:p>
    <w:p>
      <w:pPr>
        <w:jc w:val="both"/>
        <w:rPr>
          <w:rFonts w:hint="eastAsia" w:ascii="宋体" w:hAnsi="宋体"/>
          <w:b/>
          <w:color w:val="auto"/>
        </w:rPr>
      </w:pPr>
    </w:p>
    <w:p>
      <w:pPr>
        <w:jc w:val="center"/>
        <w:rPr>
          <w:rFonts w:ascii="宋体" w:hAnsi="宋体"/>
          <w:b/>
          <w:color w:val="auto"/>
        </w:rPr>
      </w:pPr>
      <w:r>
        <w:rPr>
          <w:rFonts w:hint="eastAsia" w:ascii="宋体" w:hAnsi="宋体"/>
          <w:b/>
          <w:color w:val="auto"/>
        </w:rPr>
        <w:t xml:space="preserve">第九章 </w:t>
      </w:r>
      <w:r>
        <w:rPr>
          <w:rFonts w:ascii="宋体" w:hAnsi="宋体"/>
          <w:b/>
          <w:color w:val="auto"/>
        </w:rPr>
        <w:t>合并、分立、增资、减资、解散和清算</w:t>
      </w:r>
    </w:p>
    <w:p>
      <w:pPr>
        <w:jc w:val="center"/>
        <w:rPr>
          <w:rFonts w:ascii="宋体" w:hAnsi="宋体"/>
          <w:b/>
          <w:color w:val="auto"/>
        </w:rPr>
      </w:pPr>
    </w:p>
    <w:p>
      <w:pPr>
        <w:jc w:val="center"/>
        <w:rPr>
          <w:rFonts w:ascii="宋体" w:hAnsi="宋体"/>
          <w:color w:val="auto"/>
        </w:rPr>
      </w:pPr>
      <w:r>
        <w:rPr>
          <w:rFonts w:ascii="宋体" w:hAnsi="宋体"/>
          <w:color w:val="auto"/>
        </w:rPr>
        <w:t xml:space="preserve">第一节 </w:t>
      </w:r>
      <w:r>
        <w:rPr>
          <w:rFonts w:hint="eastAsia" w:ascii="宋体" w:hAnsi="宋体"/>
          <w:color w:val="auto"/>
        </w:rPr>
        <w:t xml:space="preserve"> </w:t>
      </w:r>
      <w:r>
        <w:rPr>
          <w:rFonts w:ascii="宋体" w:hAnsi="宋体"/>
          <w:color w:val="auto"/>
        </w:rPr>
        <w:t>合并</w:t>
      </w:r>
      <w:r>
        <w:rPr>
          <w:rFonts w:hint="eastAsia" w:ascii="宋体" w:hAnsi="宋体"/>
          <w:color w:val="auto"/>
        </w:rPr>
        <w:t>与</w:t>
      </w:r>
      <w:r>
        <w:rPr>
          <w:rFonts w:ascii="宋体" w:hAnsi="宋体"/>
          <w:color w:val="auto"/>
        </w:rPr>
        <w:t>分立</w:t>
      </w:r>
    </w:p>
    <w:p>
      <w:pPr>
        <w:numPr>
          <w:ilvl w:val="0"/>
          <w:numId w:val="3"/>
        </w:numPr>
        <w:ind w:left="0" w:firstLine="426"/>
        <w:rPr>
          <w:rFonts w:hint="eastAsia" w:ascii="宋体" w:hAnsi="宋体"/>
          <w:color w:val="auto"/>
        </w:rPr>
      </w:pPr>
      <w:r>
        <w:rPr>
          <w:rFonts w:hint="eastAsia" w:ascii="宋体" w:hAnsi="宋体"/>
          <w:color w:val="auto"/>
        </w:rPr>
        <w:t>本行合并或者分立应当依法办理有关审批手续。合并、分立决议的内容应当作成专门文件，供股东查阅。本行的分立和合并事项应遵守《公司法》、《商业银行法》等相关法律的规定。</w:t>
      </w:r>
    </w:p>
    <w:p>
      <w:pPr>
        <w:numPr>
          <w:ilvl w:val="0"/>
          <w:numId w:val="3"/>
        </w:numPr>
        <w:ind w:left="0" w:firstLine="426"/>
        <w:rPr>
          <w:rFonts w:hint="eastAsia" w:ascii="宋体" w:hAnsi="宋体"/>
          <w:color w:val="auto"/>
        </w:rPr>
      </w:pPr>
      <w:r>
        <w:rPr>
          <w:rFonts w:hint="eastAsia" w:ascii="宋体" w:hAnsi="宋体"/>
          <w:color w:val="auto"/>
        </w:rPr>
        <w:t>本行合并可以采取吸收合并或新设合并两种形式。</w:t>
      </w:r>
    </w:p>
    <w:p>
      <w:pPr>
        <w:ind w:firstLine="480" w:firstLineChars="200"/>
        <w:rPr>
          <w:rFonts w:hint="eastAsia" w:ascii="宋体" w:hAnsi="宋体"/>
          <w:color w:val="auto"/>
        </w:rPr>
      </w:pPr>
      <w:r>
        <w:rPr>
          <w:rFonts w:hint="eastAsia" w:ascii="宋体" w:hAnsi="宋体"/>
          <w:color w:val="auto"/>
        </w:rPr>
        <w:t>本行合并，应当由合并各方签订合并协议，并编制资产负债表及财产清单。本行应当自作出合并决议之日起10日内通知债权人，并于30日内在报纸上公告。债权人自接到通知书之日起30日内，未接到通知书的自公告之日起45日内，有权要求本行清偿债务或者提供相应的担保。</w:t>
      </w:r>
    </w:p>
    <w:p>
      <w:pPr>
        <w:ind w:firstLine="480" w:firstLineChars="200"/>
        <w:rPr>
          <w:rFonts w:hint="eastAsia" w:ascii="宋体" w:hAnsi="宋体"/>
          <w:color w:val="auto"/>
        </w:rPr>
      </w:pPr>
      <w:r>
        <w:rPr>
          <w:rFonts w:hint="eastAsia" w:ascii="宋体" w:hAnsi="宋体"/>
          <w:color w:val="auto"/>
        </w:rPr>
        <w:t>本行合并后，合并各方的债权、债务，由合并后存续的公司或者新设的公司承继。</w:t>
      </w:r>
    </w:p>
    <w:p>
      <w:pPr>
        <w:numPr>
          <w:ilvl w:val="0"/>
          <w:numId w:val="3"/>
        </w:numPr>
        <w:ind w:left="0" w:firstLine="426"/>
        <w:rPr>
          <w:rFonts w:hint="eastAsia" w:ascii="宋体" w:hAnsi="宋体"/>
          <w:color w:val="auto"/>
        </w:rPr>
      </w:pPr>
      <w:r>
        <w:rPr>
          <w:rFonts w:hint="eastAsia" w:ascii="宋体" w:hAnsi="宋体"/>
          <w:color w:val="auto"/>
        </w:rPr>
        <w:t>本行分立，其财产应当作相应的分割。本行分立，应当由分立各方签订分立协议，并编制资产负债表和财产清单。本行自股东作出分立决定之日起10日内通知债权人，并于30日内在报纸上公告。</w:t>
      </w:r>
    </w:p>
    <w:p>
      <w:pPr>
        <w:ind w:firstLine="480" w:firstLineChars="200"/>
        <w:rPr>
          <w:rFonts w:hint="eastAsia" w:ascii="宋体" w:hAnsi="宋体"/>
          <w:color w:val="auto"/>
        </w:rPr>
      </w:pPr>
      <w:r>
        <w:rPr>
          <w:rFonts w:hint="eastAsia" w:ascii="宋体" w:hAnsi="宋体"/>
          <w:color w:val="auto"/>
        </w:rPr>
        <w:t>本行分立前的债务由分立后的各方承担连带责任。但是，本行在分立前与债权人就债务清偿达成的书面协议另有约定的除外。</w:t>
      </w:r>
    </w:p>
    <w:p>
      <w:pPr>
        <w:numPr>
          <w:ilvl w:val="0"/>
          <w:numId w:val="3"/>
        </w:numPr>
        <w:ind w:left="0" w:firstLine="426"/>
        <w:rPr>
          <w:rFonts w:ascii="宋体" w:hAnsi="宋体"/>
          <w:color w:val="auto"/>
        </w:rPr>
      </w:pPr>
      <w:r>
        <w:rPr>
          <w:rFonts w:hint="eastAsia" w:ascii="宋体" w:hAnsi="宋体"/>
          <w:color w:val="auto"/>
        </w:rPr>
        <w:t>本行合并或者分立，登记事项发生变更的，依法向公司登记机关办理变更登记；本行解散的，依法办理注销登记；设立新公司的，依法办理设立登记。</w:t>
      </w:r>
    </w:p>
    <w:p>
      <w:pPr>
        <w:ind w:firstLine="480" w:firstLineChars="200"/>
        <w:rPr>
          <w:rFonts w:ascii="宋体" w:hAnsi="宋体"/>
          <w:color w:val="auto"/>
        </w:rPr>
      </w:pPr>
    </w:p>
    <w:p>
      <w:pPr>
        <w:jc w:val="center"/>
        <w:rPr>
          <w:rFonts w:ascii="宋体" w:hAnsi="宋体"/>
          <w:color w:val="auto"/>
        </w:rPr>
      </w:pPr>
      <w:r>
        <w:rPr>
          <w:rFonts w:hint="eastAsia" w:ascii="宋体" w:hAnsi="宋体"/>
          <w:color w:val="auto"/>
        </w:rPr>
        <w:t>第二节 解散与清算</w:t>
      </w:r>
    </w:p>
    <w:p>
      <w:pPr>
        <w:numPr>
          <w:ilvl w:val="0"/>
          <w:numId w:val="3"/>
        </w:numPr>
        <w:ind w:left="0" w:firstLine="426"/>
        <w:rPr>
          <w:rFonts w:hint="eastAsia" w:ascii="宋体" w:hAnsi="宋体"/>
          <w:color w:val="auto"/>
        </w:rPr>
      </w:pPr>
      <w:r>
        <w:rPr>
          <w:rFonts w:hint="eastAsia" w:ascii="宋体" w:hAnsi="宋体"/>
          <w:color w:val="auto"/>
        </w:rPr>
        <w:t>本行有下列情形之一的，应当依法解散并进行清算：</w:t>
      </w:r>
    </w:p>
    <w:p>
      <w:pPr>
        <w:ind w:firstLine="480" w:firstLineChars="200"/>
        <w:rPr>
          <w:rFonts w:hint="eastAsia" w:ascii="宋体" w:hAnsi="宋体"/>
          <w:color w:val="auto"/>
        </w:rPr>
      </w:pPr>
      <w:r>
        <w:rPr>
          <w:rFonts w:hint="eastAsia" w:ascii="宋体" w:hAnsi="宋体"/>
          <w:color w:val="auto"/>
        </w:rPr>
        <w:t>（一）营业期限届满；</w:t>
      </w:r>
    </w:p>
    <w:p>
      <w:pPr>
        <w:ind w:firstLine="480" w:firstLineChars="200"/>
        <w:rPr>
          <w:rFonts w:hint="eastAsia" w:ascii="宋体" w:hAnsi="宋体"/>
          <w:color w:val="auto"/>
        </w:rPr>
      </w:pPr>
      <w:r>
        <w:rPr>
          <w:rFonts w:hint="eastAsia" w:ascii="宋体" w:hAnsi="宋体"/>
          <w:color w:val="auto"/>
        </w:rPr>
        <w:t>（二）股东决定解散；</w:t>
      </w:r>
    </w:p>
    <w:p>
      <w:pPr>
        <w:ind w:firstLine="480" w:firstLineChars="200"/>
        <w:rPr>
          <w:rFonts w:hint="eastAsia" w:ascii="宋体" w:hAnsi="宋体"/>
          <w:color w:val="auto"/>
        </w:rPr>
      </w:pPr>
      <w:r>
        <w:rPr>
          <w:rFonts w:hint="eastAsia" w:ascii="宋体" w:hAnsi="宋体"/>
          <w:color w:val="auto"/>
        </w:rPr>
        <w:t>（三）因本行合并或者分立而需要解散；</w:t>
      </w:r>
    </w:p>
    <w:p>
      <w:pPr>
        <w:ind w:firstLine="480" w:firstLineChars="200"/>
        <w:rPr>
          <w:rFonts w:hint="eastAsia" w:ascii="宋体" w:hAnsi="宋体"/>
          <w:color w:val="auto"/>
        </w:rPr>
      </w:pPr>
      <w:r>
        <w:rPr>
          <w:rFonts w:hint="eastAsia" w:ascii="宋体" w:hAnsi="宋体"/>
          <w:color w:val="auto"/>
        </w:rPr>
        <w:t>（四）本行因不能清偿到期债务被依法宣告破产；</w:t>
      </w:r>
    </w:p>
    <w:p>
      <w:pPr>
        <w:ind w:firstLine="480" w:firstLineChars="200"/>
        <w:rPr>
          <w:rFonts w:hint="eastAsia" w:ascii="宋体" w:hAnsi="宋体"/>
          <w:color w:val="auto"/>
        </w:rPr>
      </w:pPr>
      <w:r>
        <w:rPr>
          <w:rFonts w:hint="eastAsia" w:ascii="宋体" w:hAnsi="宋体"/>
          <w:color w:val="auto"/>
        </w:rPr>
        <w:t>（五）依法被吊销营业执照、责令关闭或者被撤销；</w:t>
      </w:r>
    </w:p>
    <w:p>
      <w:pPr>
        <w:ind w:firstLine="480" w:firstLineChars="200"/>
        <w:rPr>
          <w:rFonts w:ascii="宋体" w:hAnsi="宋体"/>
          <w:color w:val="auto"/>
        </w:rPr>
      </w:pPr>
      <w:r>
        <w:rPr>
          <w:rFonts w:hint="eastAsia" w:ascii="宋体" w:hAnsi="宋体"/>
          <w:color w:val="auto"/>
        </w:rPr>
        <w:t>（六）本行经营管理发生严重困难，继续存续会使股东利益受到重大损失，通过其它途径不能解决的。</w:t>
      </w:r>
    </w:p>
    <w:p>
      <w:pPr>
        <w:numPr>
          <w:ilvl w:val="0"/>
          <w:numId w:val="3"/>
        </w:numPr>
        <w:ind w:left="0" w:firstLine="426"/>
        <w:rPr>
          <w:rFonts w:hint="eastAsia" w:ascii="宋体" w:hAnsi="宋体"/>
          <w:color w:val="auto"/>
        </w:rPr>
      </w:pPr>
      <w:r>
        <w:rPr>
          <w:rFonts w:hint="eastAsia" w:ascii="宋体" w:hAnsi="宋体"/>
          <w:color w:val="auto"/>
        </w:rPr>
        <w:t>本行因有前条第（一）、（二）、（六）项情形而解散的，应当在当地银行业监督管理机构批准后15日内依法成立清算组，并通过</w:t>
      </w:r>
      <w:r>
        <w:rPr>
          <w:rFonts w:ascii="宋体" w:hAnsi="宋体"/>
          <w:color w:val="auto"/>
        </w:rPr>
        <w:t>股东决定</w:t>
      </w:r>
      <w:r>
        <w:rPr>
          <w:rFonts w:hint="eastAsia" w:ascii="宋体" w:hAnsi="宋体"/>
          <w:color w:val="auto"/>
        </w:rPr>
        <w:t>确定其清算组组成人员。本行逾期不成立清算组进行清算的,债权人可以申请人民法院指定有关人员组成清算组进行清算。</w:t>
      </w:r>
    </w:p>
    <w:p>
      <w:pPr>
        <w:ind w:firstLine="480" w:firstLineChars="200"/>
        <w:rPr>
          <w:rFonts w:hint="eastAsia" w:ascii="宋体" w:hAnsi="宋体"/>
          <w:color w:val="auto"/>
        </w:rPr>
      </w:pPr>
      <w:r>
        <w:rPr>
          <w:rFonts w:hint="eastAsia" w:ascii="宋体" w:hAnsi="宋体"/>
          <w:color w:val="auto"/>
        </w:rPr>
        <w:t>本行因有前条第（三）项情形而解散的，清算工作由合并或者分立各方当事人依照合并或者分立时签订的合同办理。</w:t>
      </w:r>
    </w:p>
    <w:p>
      <w:pPr>
        <w:ind w:firstLine="480" w:firstLineChars="200"/>
        <w:rPr>
          <w:rFonts w:hint="eastAsia" w:ascii="宋体" w:hAnsi="宋体"/>
          <w:color w:val="auto"/>
        </w:rPr>
      </w:pPr>
      <w:r>
        <w:rPr>
          <w:rFonts w:hint="eastAsia" w:ascii="宋体" w:hAnsi="宋体"/>
          <w:color w:val="auto"/>
        </w:rPr>
        <w:t>本行因前条（四）项规定解散的，由人民法院依照有关法律的规定，组织当地银行业监督管理机构、股东、有关机关及有关专业人员成立清算组，进行清算。</w:t>
      </w:r>
    </w:p>
    <w:p>
      <w:pPr>
        <w:ind w:firstLine="480" w:firstLineChars="200"/>
        <w:rPr>
          <w:rFonts w:ascii="宋体" w:hAnsi="宋体"/>
          <w:color w:val="auto"/>
        </w:rPr>
      </w:pPr>
      <w:r>
        <w:rPr>
          <w:rFonts w:hint="eastAsia" w:ascii="宋体" w:hAnsi="宋体"/>
          <w:color w:val="auto"/>
        </w:rPr>
        <w:t>本行因前条（五）项规定解散的，由当地银行业监督管理机构组织股东、有关机关及有关专业人员成立清算组，进行清算。</w:t>
      </w:r>
    </w:p>
    <w:p>
      <w:pPr>
        <w:numPr>
          <w:ilvl w:val="0"/>
          <w:numId w:val="3"/>
        </w:numPr>
        <w:ind w:left="0" w:firstLine="426"/>
        <w:rPr>
          <w:rFonts w:hint="eastAsia" w:ascii="宋体" w:hAnsi="宋体"/>
          <w:color w:val="auto"/>
        </w:rPr>
      </w:pPr>
      <w:r>
        <w:rPr>
          <w:rFonts w:hint="eastAsia" w:ascii="宋体" w:hAnsi="宋体"/>
          <w:color w:val="auto"/>
        </w:rPr>
        <w:t>清算组在清算期间行使下列职权：</w:t>
      </w:r>
    </w:p>
    <w:p>
      <w:pPr>
        <w:ind w:firstLine="480" w:firstLineChars="200"/>
        <w:rPr>
          <w:rFonts w:hint="eastAsia" w:ascii="宋体" w:hAnsi="宋体"/>
          <w:color w:val="auto"/>
        </w:rPr>
      </w:pPr>
      <w:r>
        <w:rPr>
          <w:rFonts w:hint="eastAsia" w:ascii="宋体" w:hAnsi="宋体"/>
          <w:color w:val="auto"/>
        </w:rPr>
        <w:t>（一）清理本行财产，分别编制资产负债表和财产清单；</w:t>
      </w:r>
    </w:p>
    <w:p>
      <w:pPr>
        <w:ind w:firstLine="480" w:firstLineChars="200"/>
        <w:rPr>
          <w:rFonts w:hint="eastAsia" w:ascii="宋体" w:hAnsi="宋体"/>
          <w:color w:val="auto"/>
        </w:rPr>
      </w:pPr>
      <w:r>
        <w:rPr>
          <w:rFonts w:hint="eastAsia" w:ascii="宋体" w:hAnsi="宋体"/>
          <w:color w:val="auto"/>
        </w:rPr>
        <w:t>（二）通知或者公告债权人；</w:t>
      </w:r>
    </w:p>
    <w:p>
      <w:pPr>
        <w:ind w:firstLine="480" w:firstLineChars="200"/>
        <w:rPr>
          <w:rFonts w:hint="eastAsia" w:ascii="宋体" w:hAnsi="宋体"/>
          <w:color w:val="auto"/>
        </w:rPr>
      </w:pPr>
      <w:r>
        <w:rPr>
          <w:rFonts w:hint="eastAsia" w:ascii="宋体" w:hAnsi="宋体"/>
          <w:color w:val="auto"/>
        </w:rPr>
        <w:t>（三）处理与清算有关的本行未了结的业务；</w:t>
      </w:r>
    </w:p>
    <w:p>
      <w:pPr>
        <w:ind w:firstLine="480" w:firstLineChars="200"/>
        <w:rPr>
          <w:rFonts w:hint="eastAsia" w:ascii="宋体" w:hAnsi="宋体"/>
          <w:color w:val="auto"/>
        </w:rPr>
      </w:pPr>
      <w:r>
        <w:rPr>
          <w:rFonts w:hint="eastAsia" w:ascii="宋体" w:hAnsi="宋体"/>
          <w:color w:val="auto"/>
        </w:rPr>
        <w:t>（四）清缴所欠税款以及清算过程中产生的税款；</w:t>
      </w:r>
    </w:p>
    <w:p>
      <w:pPr>
        <w:ind w:firstLine="480" w:firstLineChars="200"/>
        <w:rPr>
          <w:rFonts w:hint="eastAsia" w:ascii="宋体" w:hAnsi="宋体"/>
          <w:color w:val="auto"/>
        </w:rPr>
      </w:pPr>
      <w:r>
        <w:rPr>
          <w:rFonts w:hint="eastAsia" w:ascii="宋体" w:hAnsi="宋体"/>
          <w:color w:val="auto"/>
        </w:rPr>
        <w:t>（五）清理债权、债务；</w:t>
      </w:r>
    </w:p>
    <w:p>
      <w:pPr>
        <w:ind w:firstLine="480" w:firstLineChars="200"/>
        <w:rPr>
          <w:rFonts w:hint="eastAsia" w:ascii="宋体" w:hAnsi="宋体"/>
          <w:color w:val="auto"/>
        </w:rPr>
      </w:pPr>
      <w:r>
        <w:rPr>
          <w:rFonts w:hint="eastAsia" w:ascii="宋体" w:hAnsi="宋体"/>
          <w:color w:val="auto"/>
        </w:rPr>
        <w:t>（六）处理本行清偿债务后的剩余财产；</w:t>
      </w:r>
    </w:p>
    <w:p>
      <w:pPr>
        <w:ind w:firstLine="480" w:firstLineChars="200"/>
        <w:rPr>
          <w:rFonts w:hint="eastAsia" w:ascii="宋体" w:hAnsi="宋体"/>
          <w:color w:val="auto"/>
        </w:rPr>
      </w:pPr>
      <w:r>
        <w:rPr>
          <w:rFonts w:hint="eastAsia" w:ascii="宋体" w:hAnsi="宋体"/>
          <w:color w:val="auto"/>
        </w:rPr>
        <w:t>（七）代表本行参与民事诉讼、仲裁活动。</w:t>
      </w:r>
    </w:p>
    <w:p>
      <w:pPr>
        <w:numPr>
          <w:ilvl w:val="0"/>
          <w:numId w:val="3"/>
        </w:numPr>
        <w:ind w:left="0" w:firstLine="426"/>
        <w:rPr>
          <w:rFonts w:hint="eastAsia" w:ascii="宋体" w:hAnsi="宋体"/>
          <w:color w:val="auto"/>
        </w:rPr>
      </w:pPr>
      <w:r>
        <w:rPr>
          <w:rFonts w:hint="eastAsia" w:ascii="宋体" w:hAnsi="宋体"/>
          <w:color w:val="auto"/>
        </w:rPr>
        <w:t>清算组应当自成立之日起10日内通知债权人，并于60日内在报纸上公告。债权人应当自接到通知书之日起30日内，未接到通知书的自公告之日起45日内，向清算组申报其债权。</w:t>
      </w:r>
    </w:p>
    <w:p>
      <w:pPr>
        <w:ind w:firstLine="480" w:firstLineChars="200"/>
        <w:rPr>
          <w:rFonts w:hint="eastAsia" w:ascii="宋体" w:hAnsi="宋体"/>
          <w:color w:val="auto"/>
        </w:rPr>
      </w:pPr>
      <w:r>
        <w:rPr>
          <w:rFonts w:hint="eastAsia" w:ascii="宋体" w:hAnsi="宋体"/>
          <w:color w:val="auto"/>
        </w:rPr>
        <w:t>债权人申报其债权，应当说明债权的有关事项，并提供证明材料。清算组应当对债权进行登记。</w:t>
      </w:r>
    </w:p>
    <w:p>
      <w:pPr>
        <w:ind w:firstLine="480" w:firstLineChars="200"/>
        <w:rPr>
          <w:rFonts w:hint="eastAsia" w:ascii="宋体" w:hAnsi="宋体"/>
          <w:color w:val="auto"/>
        </w:rPr>
      </w:pPr>
      <w:r>
        <w:rPr>
          <w:rFonts w:hint="eastAsia" w:ascii="宋体" w:hAnsi="宋体"/>
          <w:color w:val="auto"/>
        </w:rPr>
        <w:t>在申报债权期间，清算组不得对债权人进行清偿。</w:t>
      </w:r>
    </w:p>
    <w:p>
      <w:pPr>
        <w:numPr>
          <w:ilvl w:val="0"/>
          <w:numId w:val="3"/>
        </w:numPr>
        <w:ind w:left="0" w:firstLine="426"/>
        <w:rPr>
          <w:rFonts w:ascii="宋体" w:hAnsi="宋体"/>
          <w:color w:val="auto"/>
        </w:rPr>
      </w:pPr>
      <w:r>
        <w:rPr>
          <w:rFonts w:hint="eastAsia" w:ascii="宋体" w:hAnsi="宋体"/>
          <w:color w:val="auto"/>
        </w:rPr>
        <w:t>清算组应当遵循股东、人民法院或有关主管机关的指示向股东、人民法院或有关主管机关报告清算组的收入和支出以及本行的业务和清算的进展。</w:t>
      </w:r>
    </w:p>
    <w:p>
      <w:pPr>
        <w:numPr>
          <w:ilvl w:val="0"/>
          <w:numId w:val="3"/>
        </w:numPr>
        <w:ind w:left="0" w:firstLine="426"/>
        <w:rPr>
          <w:rFonts w:ascii="宋体" w:hAnsi="宋体"/>
          <w:color w:val="auto"/>
        </w:rPr>
      </w:pPr>
      <w:r>
        <w:rPr>
          <w:rFonts w:hint="eastAsia" w:ascii="宋体" w:hAnsi="宋体"/>
          <w:color w:val="auto"/>
        </w:rPr>
        <w:t>清算组在清理本行财产、编制资产负债表和财产清单后，应当制定清算方案，并报股东、人民法院或有关主管部门确认。</w:t>
      </w:r>
    </w:p>
    <w:p>
      <w:pPr>
        <w:numPr>
          <w:ilvl w:val="0"/>
          <w:numId w:val="3"/>
        </w:numPr>
        <w:ind w:left="0" w:firstLine="426"/>
        <w:rPr>
          <w:rFonts w:hint="eastAsia" w:ascii="宋体" w:hAnsi="宋体"/>
          <w:color w:val="auto"/>
        </w:rPr>
      </w:pPr>
      <w:r>
        <w:rPr>
          <w:rFonts w:hint="eastAsia" w:ascii="宋体" w:hAnsi="宋体"/>
          <w:color w:val="auto"/>
        </w:rPr>
        <w:t>本行财产能够清偿本行债务的，依照下列顺序清偿：</w:t>
      </w:r>
    </w:p>
    <w:p>
      <w:pPr>
        <w:ind w:firstLine="480" w:firstLineChars="200"/>
        <w:rPr>
          <w:rFonts w:hint="eastAsia" w:ascii="宋体" w:hAnsi="宋体"/>
          <w:color w:val="auto"/>
        </w:rPr>
      </w:pPr>
      <w:r>
        <w:rPr>
          <w:rFonts w:hint="eastAsia" w:ascii="宋体" w:hAnsi="宋体"/>
          <w:color w:val="auto"/>
        </w:rPr>
        <w:t>（一）支付清算费用；</w:t>
      </w:r>
    </w:p>
    <w:p>
      <w:pPr>
        <w:ind w:firstLine="480" w:firstLineChars="200"/>
        <w:rPr>
          <w:rFonts w:hint="eastAsia" w:ascii="宋体" w:hAnsi="宋体"/>
          <w:color w:val="auto"/>
        </w:rPr>
      </w:pPr>
      <w:r>
        <w:rPr>
          <w:rFonts w:hint="eastAsia" w:ascii="宋体" w:hAnsi="宋体"/>
          <w:color w:val="auto"/>
        </w:rPr>
        <w:t>（二）支付本行职工工资、社会保险费用和法定补偿金；</w:t>
      </w:r>
    </w:p>
    <w:p>
      <w:pPr>
        <w:ind w:firstLine="480" w:firstLineChars="200"/>
        <w:rPr>
          <w:rFonts w:hint="eastAsia" w:ascii="宋体" w:hAnsi="宋体"/>
          <w:color w:val="auto"/>
        </w:rPr>
      </w:pPr>
      <w:r>
        <w:rPr>
          <w:rFonts w:hint="eastAsia" w:ascii="宋体" w:hAnsi="宋体"/>
          <w:color w:val="auto"/>
        </w:rPr>
        <w:t>（三）支付个人储蓄存款的本金和利息；</w:t>
      </w:r>
    </w:p>
    <w:p>
      <w:pPr>
        <w:ind w:firstLine="480" w:firstLineChars="200"/>
        <w:rPr>
          <w:rFonts w:hint="eastAsia" w:ascii="宋体" w:hAnsi="宋体"/>
          <w:color w:val="auto"/>
        </w:rPr>
      </w:pPr>
      <w:r>
        <w:rPr>
          <w:rFonts w:hint="eastAsia" w:ascii="宋体" w:hAnsi="宋体"/>
          <w:color w:val="auto"/>
        </w:rPr>
        <w:t>（四）缴纳所欠税款；</w:t>
      </w:r>
    </w:p>
    <w:p>
      <w:pPr>
        <w:ind w:firstLine="480" w:firstLineChars="200"/>
        <w:rPr>
          <w:rFonts w:hint="eastAsia" w:ascii="宋体" w:hAnsi="宋体"/>
          <w:color w:val="auto"/>
        </w:rPr>
      </w:pPr>
      <w:r>
        <w:rPr>
          <w:rFonts w:hint="eastAsia" w:ascii="宋体" w:hAnsi="宋体"/>
          <w:color w:val="auto"/>
        </w:rPr>
        <w:t>（五）清偿本行其他债务。</w:t>
      </w:r>
    </w:p>
    <w:p>
      <w:pPr>
        <w:ind w:firstLine="480" w:firstLineChars="200"/>
        <w:rPr>
          <w:rFonts w:ascii="宋体" w:hAnsi="宋体"/>
          <w:color w:val="auto"/>
        </w:rPr>
      </w:pPr>
      <w:r>
        <w:rPr>
          <w:rFonts w:hint="eastAsia" w:ascii="宋体" w:hAnsi="宋体"/>
          <w:color w:val="auto"/>
        </w:rPr>
        <w:t>本行财产未按前款规定清偿前，不得分配给股东；本行财产按前款规定清偿后的剩余财产，按照本行股东的出资比例进行分配。清算期间，本行存续，但不得展开与清算无关的经营活动。</w:t>
      </w:r>
    </w:p>
    <w:p>
      <w:pPr>
        <w:numPr>
          <w:ilvl w:val="0"/>
          <w:numId w:val="3"/>
        </w:numPr>
        <w:ind w:left="0" w:firstLine="426"/>
        <w:rPr>
          <w:rFonts w:hint="eastAsia" w:ascii="宋体" w:hAnsi="宋体"/>
          <w:color w:val="auto"/>
        </w:rPr>
      </w:pPr>
      <w:r>
        <w:rPr>
          <w:rFonts w:hint="eastAsia" w:ascii="宋体" w:hAnsi="宋体"/>
          <w:color w:val="auto"/>
        </w:rPr>
        <w:t>清算组在清理本行财产、编制资产负债表和财产清单后，发现本行财产不足清偿债务的，应当向人民法院申请宣告破产。本行经人民法院宣告破产后，清算组应当将清算事务移交给人民法院。</w:t>
      </w:r>
    </w:p>
    <w:p>
      <w:pPr>
        <w:ind w:firstLine="480" w:firstLineChars="200"/>
        <w:rPr>
          <w:rFonts w:hint="eastAsia" w:ascii="宋体" w:hAnsi="宋体"/>
          <w:color w:val="auto"/>
        </w:rPr>
      </w:pPr>
      <w:r>
        <w:rPr>
          <w:rFonts w:hint="eastAsia" w:ascii="宋体" w:hAnsi="宋体"/>
          <w:color w:val="auto"/>
        </w:rPr>
        <w:t>本行被依法宣告破产的，依照有关企业破产的法律实施破产清算。</w:t>
      </w:r>
    </w:p>
    <w:p>
      <w:pPr>
        <w:numPr>
          <w:ilvl w:val="0"/>
          <w:numId w:val="3"/>
        </w:numPr>
        <w:ind w:left="0" w:firstLine="426"/>
        <w:rPr>
          <w:rFonts w:ascii="宋体" w:hAnsi="宋体"/>
          <w:color w:val="auto"/>
        </w:rPr>
      </w:pPr>
      <w:r>
        <w:rPr>
          <w:rFonts w:hint="eastAsia" w:ascii="宋体" w:hAnsi="宋体"/>
          <w:color w:val="auto"/>
        </w:rPr>
        <w:t>本行清算结束后，清算组应当制作清算报告，以及清算期间收支报表和财务账册，经中国注册会计师验证后，报股东、人民法院或者有关主管机关确认，并报送公司登记机关，申请注销公司登记，公告本行终止。</w:t>
      </w:r>
    </w:p>
    <w:p>
      <w:pPr>
        <w:numPr>
          <w:ilvl w:val="0"/>
          <w:numId w:val="3"/>
        </w:numPr>
        <w:ind w:left="0" w:firstLine="426"/>
        <w:rPr>
          <w:rFonts w:hint="eastAsia" w:ascii="宋体" w:hAnsi="宋体"/>
          <w:color w:val="auto"/>
        </w:rPr>
      </w:pPr>
      <w:r>
        <w:rPr>
          <w:rFonts w:hint="eastAsia" w:ascii="宋体" w:hAnsi="宋体"/>
          <w:color w:val="auto"/>
        </w:rPr>
        <w:t>清算组成员应当忠于职守，依法履行清算义务，不得利用职权收受贿赂或者其他非法收入，不得侵占本行财产。</w:t>
      </w:r>
    </w:p>
    <w:p>
      <w:pPr>
        <w:ind w:firstLine="480" w:firstLineChars="200"/>
        <w:rPr>
          <w:rFonts w:ascii="宋体" w:hAnsi="宋体"/>
          <w:color w:val="auto"/>
        </w:rPr>
      </w:pPr>
      <w:r>
        <w:rPr>
          <w:rFonts w:hint="eastAsia" w:ascii="宋体" w:hAnsi="宋体"/>
          <w:color w:val="auto"/>
        </w:rPr>
        <w:t>清算组成员因故意或者重大过失给本行或者债权人造成损失的，应当承担赔偿责任。</w:t>
      </w:r>
    </w:p>
    <w:p>
      <w:pPr>
        <w:jc w:val="center"/>
        <w:rPr>
          <w:rFonts w:ascii="宋体" w:hAnsi="宋体"/>
          <w:b/>
          <w:color w:val="auto"/>
        </w:rPr>
      </w:pPr>
    </w:p>
    <w:p>
      <w:pPr>
        <w:jc w:val="center"/>
        <w:rPr>
          <w:rFonts w:ascii="宋体" w:hAnsi="宋体"/>
          <w:b/>
          <w:color w:val="auto"/>
        </w:rPr>
      </w:pPr>
      <w:r>
        <w:rPr>
          <w:rFonts w:hint="eastAsia" w:ascii="宋体" w:hAnsi="宋体"/>
          <w:b/>
          <w:color w:val="auto"/>
        </w:rPr>
        <w:t>第十章 章程的修改</w:t>
      </w:r>
    </w:p>
    <w:p>
      <w:pPr>
        <w:ind w:firstLine="482" w:firstLineChars="200"/>
        <w:rPr>
          <w:rFonts w:ascii="宋体" w:hAnsi="宋体"/>
          <w:b/>
          <w:color w:val="auto"/>
        </w:rPr>
      </w:pPr>
    </w:p>
    <w:p>
      <w:pPr>
        <w:numPr>
          <w:ilvl w:val="0"/>
          <w:numId w:val="3"/>
        </w:numPr>
        <w:ind w:left="0" w:firstLine="426"/>
        <w:rPr>
          <w:rFonts w:hint="eastAsia" w:ascii="宋体" w:hAnsi="宋体"/>
          <w:color w:val="auto"/>
        </w:rPr>
      </w:pPr>
      <w:r>
        <w:rPr>
          <w:rFonts w:hint="eastAsia" w:ascii="宋体" w:hAnsi="宋体"/>
          <w:color w:val="auto"/>
        </w:rPr>
        <w:t>有下列情形之一的，本行应当修改本章程：</w:t>
      </w:r>
    </w:p>
    <w:p>
      <w:pPr>
        <w:ind w:firstLine="480" w:firstLineChars="200"/>
        <w:rPr>
          <w:rFonts w:hint="eastAsia" w:ascii="宋体" w:hAnsi="宋体"/>
          <w:color w:val="auto"/>
        </w:rPr>
      </w:pPr>
      <w:r>
        <w:rPr>
          <w:rFonts w:hint="eastAsia" w:ascii="宋体" w:hAnsi="宋体"/>
          <w:color w:val="auto"/>
        </w:rPr>
        <w:t>（一）《公司法》、《商业银行法》或有关法律、行政法规修改后，章程规定的事项与修改后的法律、行政法规的规定相抵触；</w:t>
      </w:r>
    </w:p>
    <w:p>
      <w:pPr>
        <w:ind w:firstLine="480" w:firstLineChars="200"/>
        <w:rPr>
          <w:rFonts w:hint="eastAsia" w:ascii="宋体" w:hAnsi="宋体"/>
          <w:color w:val="auto"/>
        </w:rPr>
      </w:pPr>
      <w:r>
        <w:rPr>
          <w:rFonts w:hint="eastAsia" w:ascii="宋体" w:hAnsi="宋体"/>
          <w:color w:val="auto"/>
        </w:rPr>
        <w:t>（二）本行的情况发生变化，与章程记载的事项不一致；</w:t>
      </w:r>
    </w:p>
    <w:p>
      <w:pPr>
        <w:ind w:firstLine="480" w:firstLineChars="200"/>
        <w:rPr>
          <w:rFonts w:ascii="宋体" w:hAnsi="宋体"/>
          <w:color w:val="auto"/>
        </w:rPr>
      </w:pPr>
      <w:r>
        <w:rPr>
          <w:rFonts w:hint="eastAsia" w:ascii="宋体" w:hAnsi="宋体"/>
          <w:color w:val="auto"/>
        </w:rPr>
        <w:t>（三）股东决定修改本章程。</w:t>
      </w:r>
    </w:p>
    <w:p>
      <w:pPr>
        <w:numPr>
          <w:ilvl w:val="0"/>
          <w:numId w:val="3"/>
        </w:numPr>
        <w:ind w:left="0" w:firstLine="426"/>
        <w:rPr>
          <w:rFonts w:hint="eastAsia" w:ascii="宋体" w:hAnsi="宋体"/>
          <w:color w:val="auto"/>
        </w:rPr>
      </w:pPr>
      <w:r>
        <w:rPr>
          <w:rFonts w:hint="eastAsia" w:ascii="宋体" w:hAnsi="宋体"/>
          <w:color w:val="auto"/>
        </w:rPr>
        <w:t>股东对以下事项可授权本行董事会履行修改章程的职责：</w:t>
      </w:r>
    </w:p>
    <w:p>
      <w:pPr>
        <w:ind w:firstLine="480" w:firstLineChars="200"/>
        <w:rPr>
          <w:rFonts w:hint="eastAsia" w:ascii="宋体" w:hAnsi="宋体"/>
          <w:color w:val="auto"/>
        </w:rPr>
      </w:pPr>
      <w:r>
        <w:rPr>
          <w:rFonts w:hint="eastAsia" w:ascii="宋体" w:hAnsi="宋体"/>
          <w:color w:val="auto"/>
        </w:rPr>
        <w:t>（一）如果本行增加注册资本，本行董事会有权根据情况修改本章程中关于本行注册资本的内容；</w:t>
      </w:r>
    </w:p>
    <w:p>
      <w:pPr>
        <w:ind w:firstLine="480" w:firstLineChars="200"/>
        <w:rPr>
          <w:rFonts w:ascii="宋体" w:hAnsi="宋体"/>
          <w:color w:val="auto"/>
        </w:rPr>
      </w:pPr>
      <w:r>
        <w:rPr>
          <w:rFonts w:hint="eastAsia" w:ascii="宋体" w:hAnsi="宋体"/>
          <w:color w:val="auto"/>
        </w:rPr>
        <w:t>（二）如股东决定通过的本章程报银行业监督管理机构等有权主管机构登记、核准、审批时需要进行文字或条文顺序的变动，本行董事会有权依据银行业监督管理机构等有权主管机构的要求作出相应的修改。</w:t>
      </w:r>
    </w:p>
    <w:p>
      <w:pPr>
        <w:numPr>
          <w:ilvl w:val="0"/>
          <w:numId w:val="3"/>
        </w:numPr>
        <w:ind w:left="0" w:firstLine="426"/>
        <w:rPr>
          <w:rFonts w:ascii="宋体" w:hAnsi="宋体"/>
          <w:color w:val="auto"/>
        </w:rPr>
      </w:pPr>
      <w:r>
        <w:rPr>
          <w:rFonts w:hint="eastAsia" w:ascii="宋体" w:hAnsi="宋体"/>
          <w:color w:val="auto"/>
        </w:rPr>
        <w:t>股东决定通过的章程修改事项应经主管机关审批的，须报银行业监督管理机构等有权主管机构批准后生效；涉及登记事项的，依法办理变更登记。</w:t>
      </w:r>
    </w:p>
    <w:p>
      <w:pPr>
        <w:numPr>
          <w:ilvl w:val="0"/>
          <w:numId w:val="3"/>
        </w:numPr>
        <w:ind w:left="0" w:firstLine="426"/>
        <w:rPr>
          <w:rFonts w:ascii="宋体" w:hAnsi="宋体"/>
          <w:b/>
          <w:color w:val="auto"/>
        </w:rPr>
      </w:pPr>
      <w:r>
        <w:rPr>
          <w:rFonts w:hint="eastAsia" w:ascii="宋体" w:hAnsi="宋体"/>
          <w:color w:val="auto"/>
        </w:rPr>
        <w:t>本章程修改事项，属于法律、行政法规要求披露的信息，按规定予以公告。</w:t>
      </w:r>
    </w:p>
    <w:p>
      <w:pPr>
        <w:jc w:val="center"/>
        <w:rPr>
          <w:rFonts w:ascii="宋体" w:hAnsi="宋体"/>
          <w:b/>
          <w:color w:val="auto"/>
        </w:rPr>
      </w:pPr>
      <w:r>
        <w:rPr>
          <w:rFonts w:hint="eastAsia" w:ascii="宋体" w:hAnsi="宋体"/>
          <w:b/>
          <w:color w:val="auto"/>
        </w:rPr>
        <w:t>第十一章 附则</w:t>
      </w:r>
    </w:p>
    <w:p>
      <w:pPr>
        <w:ind w:firstLine="482" w:firstLineChars="200"/>
        <w:rPr>
          <w:rFonts w:ascii="宋体" w:hAnsi="宋体"/>
          <w:b/>
          <w:color w:val="auto"/>
        </w:rPr>
      </w:pPr>
    </w:p>
    <w:p>
      <w:pPr>
        <w:numPr>
          <w:ilvl w:val="0"/>
          <w:numId w:val="3"/>
        </w:numPr>
        <w:ind w:left="0" w:firstLine="426"/>
        <w:rPr>
          <w:rFonts w:hint="eastAsia" w:ascii="宋体" w:hAnsi="宋体"/>
          <w:color w:val="auto"/>
        </w:rPr>
      </w:pPr>
      <w:r>
        <w:rPr>
          <w:rFonts w:hint="eastAsia" w:ascii="宋体" w:hAnsi="宋体"/>
          <w:color w:val="auto"/>
        </w:rPr>
        <w:t>本章程术语释义：</w:t>
      </w:r>
    </w:p>
    <w:p>
      <w:pPr>
        <w:ind w:firstLine="480" w:firstLineChars="200"/>
        <w:rPr>
          <w:rFonts w:hint="eastAsia" w:ascii="宋体" w:hAnsi="宋体"/>
          <w:color w:val="auto"/>
        </w:rPr>
      </w:pPr>
      <w:r>
        <w:rPr>
          <w:rFonts w:hint="eastAsia" w:ascii="宋体" w:hAnsi="宋体"/>
          <w:color w:val="auto"/>
        </w:rPr>
        <w:t>（一）授权，指任何授权、批准、许可、允许、同意、资格、认证、备案、登记、证书、决议、指令、声明或例外。</w:t>
      </w:r>
    </w:p>
    <w:p>
      <w:pPr>
        <w:ind w:firstLine="480" w:firstLineChars="200"/>
        <w:rPr>
          <w:rFonts w:hint="eastAsia" w:ascii="宋体" w:hAnsi="宋体"/>
          <w:color w:val="auto"/>
        </w:rPr>
      </w:pPr>
      <w:r>
        <w:rPr>
          <w:rFonts w:hint="eastAsia" w:ascii="宋体" w:hAnsi="宋体"/>
          <w:color w:val="auto"/>
        </w:rPr>
        <w:t>（二）营业执照，指</w:t>
      </w:r>
      <w:r>
        <w:rPr>
          <w:rFonts w:hint="eastAsia" w:ascii="宋体" w:hAnsi="宋体"/>
          <w:color w:val="auto"/>
          <w:highlight w:val="none"/>
        </w:rPr>
        <w:t>相关市场监督管理部门颁</w:t>
      </w:r>
      <w:r>
        <w:rPr>
          <w:rFonts w:hint="eastAsia" w:ascii="宋体" w:hAnsi="宋体"/>
          <w:color w:val="auto"/>
        </w:rPr>
        <w:t>发给本行的《企业法人营业执照》，其准确地反映第十七条所述经营范围。</w:t>
      </w:r>
    </w:p>
    <w:p>
      <w:pPr>
        <w:ind w:firstLine="480" w:firstLineChars="200"/>
        <w:rPr>
          <w:rFonts w:hint="eastAsia" w:ascii="宋体" w:hAnsi="宋体"/>
          <w:color w:val="auto"/>
        </w:rPr>
      </w:pPr>
      <w:r>
        <w:rPr>
          <w:rFonts w:hint="eastAsia" w:ascii="宋体" w:hAnsi="宋体"/>
          <w:color w:val="auto"/>
        </w:rPr>
        <w:t>（三）股权，指股东按其对本行的出资比例所享有的任何权益。</w:t>
      </w:r>
    </w:p>
    <w:p>
      <w:pPr>
        <w:ind w:firstLine="480" w:firstLineChars="200"/>
        <w:rPr>
          <w:rFonts w:hint="eastAsia" w:ascii="宋体" w:hAnsi="宋体"/>
          <w:color w:val="auto"/>
        </w:rPr>
      </w:pPr>
      <w:r>
        <w:rPr>
          <w:rFonts w:hint="eastAsia" w:ascii="宋体" w:hAnsi="宋体"/>
          <w:color w:val="auto"/>
        </w:rPr>
        <w:t>（四）</w:t>
      </w:r>
      <w:r>
        <w:rPr>
          <w:rFonts w:hint="eastAsia" w:ascii="宋体" w:hAnsi="宋体"/>
          <w:color w:val="auto"/>
          <w:highlight w:val="none"/>
        </w:rPr>
        <w:t>审批机构，指</w:t>
      </w:r>
      <w:r>
        <w:rPr>
          <w:rFonts w:hint="eastAsia" w:ascii="宋体" w:hAnsi="宋体" w:eastAsia="宋体"/>
          <w:color w:val="auto"/>
          <w:highlight w:val="none"/>
          <w:lang w:val="en-US" w:eastAsia="zh-CN"/>
        </w:rPr>
        <w:t>国家金融监督管理总局</w:t>
      </w:r>
      <w:r>
        <w:rPr>
          <w:rFonts w:hint="eastAsia" w:ascii="宋体" w:hAnsi="宋体"/>
          <w:color w:val="auto"/>
          <w:highlight w:val="none"/>
        </w:rPr>
        <w:t>及其地方分支机构</w:t>
      </w:r>
      <w:r>
        <w:rPr>
          <w:rFonts w:hint="eastAsia" w:ascii="宋体" w:hAnsi="宋体"/>
          <w:color w:val="auto"/>
        </w:rPr>
        <w:t>（本章程中简称“</w:t>
      </w:r>
      <w:r>
        <w:rPr>
          <w:rFonts w:hint="eastAsia" w:ascii="宋体" w:hAnsi="宋体"/>
          <w:b/>
          <w:color w:val="auto"/>
        </w:rPr>
        <w:t>银行业监督管理机构</w:t>
      </w:r>
      <w:r>
        <w:rPr>
          <w:rFonts w:hint="eastAsia" w:ascii="宋体" w:hAnsi="宋体"/>
          <w:color w:val="auto"/>
        </w:rPr>
        <w:t>”）及其他根据法律规定对本行成立、变更及其他相关事项拥有审批权的部门。</w:t>
      </w:r>
    </w:p>
    <w:p>
      <w:pPr>
        <w:ind w:firstLine="480" w:firstLineChars="200"/>
        <w:rPr>
          <w:rFonts w:hint="eastAsia" w:ascii="宋体" w:hAnsi="宋体"/>
          <w:color w:val="auto"/>
        </w:rPr>
      </w:pPr>
      <w:r>
        <w:rPr>
          <w:rFonts w:hint="eastAsia" w:ascii="宋体" w:hAnsi="宋体"/>
          <w:color w:val="auto"/>
        </w:rPr>
        <w:t>（五）控股股东，是指其出资额占本行资本总额百分之五十以上；出资额的比例虽然不足百分之五十，但依其出资额所享有的表决权已足以对股东决定产生重大影响的股东。</w:t>
      </w:r>
    </w:p>
    <w:p>
      <w:pPr>
        <w:ind w:firstLine="480" w:firstLineChars="200"/>
        <w:rPr>
          <w:rFonts w:hint="eastAsia" w:ascii="宋体" w:hAnsi="宋体"/>
          <w:color w:val="auto"/>
        </w:rPr>
      </w:pPr>
      <w:r>
        <w:rPr>
          <w:rFonts w:hint="eastAsia" w:ascii="宋体" w:hAnsi="宋体"/>
          <w:color w:val="auto"/>
        </w:rPr>
        <w:t>（六）实际控制人，是指虽不是本行的股东，但通过投资关系、协议或者其他安排，能够实际支配公司行为的人。</w:t>
      </w:r>
    </w:p>
    <w:p>
      <w:pPr>
        <w:ind w:firstLine="480" w:firstLineChars="200"/>
        <w:rPr>
          <w:rFonts w:hint="eastAsia" w:ascii="宋体" w:hAnsi="宋体"/>
          <w:color w:val="auto"/>
        </w:rPr>
      </w:pPr>
      <w:r>
        <w:rPr>
          <w:rFonts w:hint="eastAsia" w:ascii="宋体" w:hAnsi="宋体"/>
          <w:color w:val="auto"/>
        </w:rPr>
        <w:t>（七）关联关系，是指本行控股股东、实际控制人、董事、监事、高级管理人员与其直接或者间接控制的企业之间的关系，以及可能导致本行利益转移的其他关系。但是，国家控股的企业之间不仅因为同受国家控股而具有关联关系。</w:t>
      </w:r>
    </w:p>
    <w:p>
      <w:pPr>
        <w:ind w:firstLine="480" w:firstLineChars="200"/>
        <w:rPr>
          <w:rFonts w:hint="eastAsia" w:ascii="宋体" w:hAnsi="宋体"/>
          <w:color w:val="auto"/>
        </w:rPr>
      </w:pPr>
      <w:r>
        <w:rPr>
          <w:rFonts w:hint="eastAsia" w:ascii="宋体" w:hAnsi="宋体"/>
          <w:color w:val="auto"/>
        </w:rPr>
        <w:t>（八）除本章程另有明确规定外，本章程所称“以上”、“以内”、“以下”，都含本数；“少于”、“不满”、“以外”及“过”不含本数。</w:t>
      </w:r>
    </w:p>
    <w:p>
      <w:pPr>
        <w:numPr>
          <w:ilvl w:val="0"/>
          <w:numId w:val="3"/>
        </w:numPr>
        <w:ind w:left="0" w:firstLine="426"/>
        <w:rPr>
          <w:rFonts w:ascii="宋体" w:hAnsi="宋体"/>
          <w:color w:val="auto"/>
        </w:rPr>
      </w:pPr>
      <w:r>
        <w:rPr>
          <w:rFonts w:hint="eastAsia" w:ascii="宋体" w:hAnsi="宋体"/>
          <w:color w:val="auto"/>
        </w:rPr>
        <w:t>本章程未尽事宜，依照中华人民共和国有关法律、行政法规及银行业监督管理机构的有关规定并结合本行实际情况处理。</w:t>
      </w:r>
    </w:p>
    <w:p>
      <w:pPr>
        <w:numPr>
          <w:ilvl w:val="0"/>
          <w:numId w:val="3"/>
        </w:numPr>
        <w:ind w:left="0" w:firstLine="426"/>
        <w:rPr>
          <w:rFonts w:ascii="宋体" w:hAnsi="宋体"/>
          <w:color w:val="auto"/>
        </w:rPr>
      </w:pPr>
      <w:r>
        <w:rPr>
          <w:rFonts w:hint="eastAsia" w:ascii="宋体" w:hAnsi="宋体"/>
          <w:color w:val="auto"/>
        </w:rPr>
        <w:t>本章程以中文书写，其他任何语种或不同版本的章程与本章程有歧义时,以银行业监督管理机</w:t>
      </w:r>
      <w:r>
        <w:rPr>
          <w:rFonts w:hint="eastAsia" w:ascii="宋体" w:hAnsi="宋体"/>
          <w:color w:val="auto"/>
          <w:highlight w:val="none"/>
        </w:rPr>
        <w:t>构依法核准或备案后，在注册地市场监督管理部门最</w:t>
      </w:r>
      <w:r>
        <w:rPr>
          <w:rFonts w:hint="eastAsia" w:ascii="宋体" w:hAnsi="宋体"/>
          <w:color w:val="auto"/>
        </w:rPr>
        <w:t>近一次登记后的中文版章程为准。</w:t>
      </w:r>
    </w:p>
    <w:p>
      <w:pPr>
        <w:numPr>
          <w:ilvl w:val="0"/>
          <w:numId w:val="3"/>
        </w:numPr>
        <w:ind w:left="0" w:firstLine="426"/>
        <w:rPr>
          <w:rFonts w:ascii="宋体" w:hAnsi="宋体"/>
          <w:color w:val="auto"/>
        </w:rPr>
      </w:pPr>
      <w:r>
        <w:rPr>
          <w:rFonts w:hint="eastAsia" w:ascii="宋体" w:hAnsi="宋体"/>
          <w:color w:val="auto"/>
        </w:rPr>
        <w:t>本章程由本行股东制定和修改，由本行董事会负责解释。</w:t>
      </w:r>
    </w:p>
    <w:p>
      <w:pPr>
        <w:numPr>
          <w:ilvl w:val="0"/>
          <w:numId w:val="3"/>
        </w:numPr>
        <w:ind w:left="0" w:firstLine="426"/>
        <w:rPr>
          <w:rFonts w:ascii="宋体" w:hAnsi="宋体"/>
          <w:color w:val="auto"/>
          <w:highlight w:val="none"/>
        </w:rPr>
      </w:pPr>
      <w:r>
        <w:rPr>
          <w:rFonts w:hint="eastAsia" w:ascii="宋体" w:hAnsi="宋体"/>
          <w:color w:val="auto"/>
        </w:rPr>
        <w:t>本章程经股东决定通过并经银行业监督管理机</w:t>
      </w:r>
      <w:r>
        <w:rPr>
          <w:rFonts w:hint="eastAsia" w:ascii="宋体" w:hAnsi="宋体"/>
          <w:color w:val="auto"/>
          <w:highlight w:val="none"/>
        </w:rPr>
        <w:t>构依法核准或备案后生效，修改时亦同。</w:t>
      </w:r>
    </w:p>
    <w:sectPr>
      <w:headerReference r:id="rId3" w:type="first"/>
      <w:footerReference r:id="rId5" w:type="first"/>
      <w:footerReference r:id="rId4" w:type="default"/>
      <w:pgSz w:w="12240" w:h="15840"/>
      <w:pgMar w:top="1440" w:right="1440" w:bottom="1440" w:left="1440" w:header="720" w:footer="1080"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GarmdITC Bk BT">
    <w:altName w:val="Segoe Print"/>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 PAGE   \* MERGEFORMAT </w:instrText>
    </w:r>
    <w:r>
      <w:fldChar w:fldCharType="separate"/>
    </w:r>
    <w:r>
      <w:rPr>
        <w:lang w:val="zh-CN"/>
      </w:rPr>
      <w:t>21</w:t>
    </w:r>
    <w: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680"/>
      </w:tabs>
      <w:jc w:val="center"/>
      <w:rPr>
        <w:rStyle w:val="46"/>
        <w:bCs/>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C402E"/>
    <w:multiLevelType w:val="multilevel"/>
    <w:tmpl w:val="18FC402E"/>
    <w:lvl w:ilvl="0" w:tentative="0">
      <w:start w:val="1"/>
      <w:numFmt w:val="decimal"/>
      <w:pStyle w:val="20"/>
      <w:lvlText w:val="%1."/>
      <w:lvlJc w:val="left"/>
      <w:pPr>
        <w:tabs>
          <w:tab w:val="left" w:pos="1419"/>
        </w:tabs>
        <w:ind w:left="1419" w:hanging="709"/>
      </w:pPr>
      <w:rPr>
        <w:rFonts w:hint="eastAsia" w:ascii="Times" w:hAnsi="Times" w:cs="Times"/>
        <w:sz w:val="26"/>
        <w:szCs w:val="26"/>
      </w:rPr>
    </w:lvl>
    <w:lvl w:ilvl="1" w:tentative="0">
      <w:start w:val="1"/>
      <w:numFmt w:val="decimal"/>
      <w:pStyle w:val="52"/>
      <w:lvlText w:val="%1.%2"/>
      <w:lvlJc w:val="left"/>
      <w:pPr>
        <w:tabs>
          <w:tab w:val="left" w:pos="709"/>
        </w:tabs>
        <w:ind w:left="709" w:hanging="709"/>
      </w:pPr>
      <w:rPr>
        <w:rFonts w:hint="eastAsia" w:ascii="Times" w:hAnsi="Times" w:cs="Times"/>
        <w:b/>
        <w:bCs/>
        <w:sz w:val="26"/>
        <w:szCs w:val="26"/>
      </w:rPr>
    </w:lvl>
    <w:lvl w:ilvl="2" w:tentative="0">
      <w:start w:val="1"/>
      <w:numFmt w:val="lowerLetter"/>
      <w:pStyle w:val="56"/>
      <w:lvlText w:val="(%3)"/>
      <w:lvlJc w:val="left"/>
      <w:pPr>
        <w:tabs>
          <w:tab w:val="left" w:pos="1430"/>
        </w:tabs>
        <w:ind w:left="1430" w:hanging="720"/>
      </w:pPr>
      <w:rPr>
        <w:rFonts w:hint="default" w:ascii="Times" w:hAnsi="Times" w:cs="Times"/>
        <w:b w:val="0"/>
        <w:bCs w:val="0"/>
        <w:sz w:val="24"/>
        <w:szCs w:val="24"/>
      </w:rPr>
    </w:lvl>
    <w:lvl w:ilvl="3" w:tentative="0">
      <w:start w:val="1"/>
      <w:numFmt w:val="lowerRoman"/>
      <w:pStyle w:val="84"/>
      <w:lvlText w:val="(%4)"/>
      <w:lvlJc w:val="left"/>
      <w:pPr>
        <w:tabs>
          <w:tab w:val="left" w:pos="2160"/>
        </w:tabs>
        <w:ind w:left="2160" w:hanging="720"/>
      </w:pPr>
      <w:rPr>
        <w:rFonts w:hint="default" w:ascii="Times" w:hAnsi="Times" w:cs="Times"/>
        <w:b w:val="0"/>
        <w:bCs w:val="0"/>
        <w:sz w:val="20"/>
        <w:szCs w:val="20"/>
      </w:rPr>
    </w:lvl>
    <w:lvl w:ilvl="4" w:tentative="0">
      <w:start w:val="1"/>
      <w:numFmt w:val="upperLetter"/>
      <w:lvlText w:val="(%5)"/>
      <w:lvlJc w:val="left"/>
      <w:pPr>
        <w:tabs>
          <w:tab w:val="left" w:pos="2835"/>
        </w:tabs>
        <w:ind w:left="2835" w:hanging="709"/>
      </w:pPr>
      <w:rPr>
        <w:rFonts w:hint="eastAsia" w:ascii="Times" w:hAnsi="Times" w:cs="Times"/>
      </w:rPr>
    </w:lvl>
    <w:lvl w:ilvl="5" w:tentative="0">
      <w:start w:val="1"/>
      <w:numFmt w:val="decimal"/>
      <w:lvlText w:val="(%6)"/>
      <w:lvlJc w:val="left"/>
      <w:pPr>
        <w:tabs>
          <w:tab w:val="left" w:pos="3549"/>
        </w:tabs>
        <w:ind w:left="3549" w:hanging="714"/>
      </w:pPr>
      <w:rPr>
        <w:rFonts w:hint="eastAsia" w:ascii="Times" w:hAnsi="GarmdITC Bk BT" w:eastAsia="宋体" w:cs="Times"/>
      </w:rPr>
    </w:lvl>
    <w:lvl w:ilvl="6" w:tentative="0">
      <w:start w:val="1"/>
      <w:numFmt w:val="decimal"/>
      <w:lvlText w:val="%7."/>
      <w:lvlJc w:val="left"/>
      <w:pPr>
        <w:tabs>
          <w:tab w:val="left" w:pos="709"/>
        </w:tabs>
        <w:ind w:left="709" w:hanging="709"/>
      </w:pPr>
      <w:rPr>
        <w:rFonts w:hint="eastAsia" w:ascii="Times" w:hAnsi="Times" w:cs="Times"/>
      </w:rPr>
    </w:lvl>
    <w:lvl w:ilvl="7" w:tentative="0">
      <w:start w:val="1"/>
      <w:numFmt w:val="lowerLetter"/>
      <w:lvlText w:val="(%8)"/>
      <w:lvlJc w:val="left"/>
      <w:pPr>
        <w:tabs>
          <w:tab w:val="left" w:pos="1418"/>
        </w:tabs>
        <w:ind w:left="1418" w:hanging="709"/>
      </w:pPr>
      <w:rPr>
        <w:rFonts w:hint="eastAsia" w:ascii="Times" w:hAnsi="Times" w:cs="Times"/>
      </w:rPr>
    </w:lvl>
    <w:lvl w:ilvl="8" w:tentative="0">
      <w:start w:val="1"/>
      <w:numFmt w:val="lowerRoman"/>
      <w:lvlText w:val="(%9)"/>
      <w:lvlJc w:val="left"/>
      <w:pPr>
        <w:tabs>
          <w:tab w:val="left" w:pos="2126"/>
        </w:tabs>
        <w:ind w:left="2126" w:hanging="708"/>
      </w:pPr>
      <w:rPr>
        <w:rFonts w:hint="eastAsia" w:ascii="Times" w:hAnsi="Times" w:cs="Times"/>
      </w:rPr>
    </w:lvl>
  </w:abstractNum>
  <w:abstractNum w:abstractNumId="1">
    <w:nsid w:val="22AA173E"/>
    <w:multiLevelType w:val="multilevel"/>
    <w:tmpl w:val="22AA173E"/>
    <w:lvl w:ilvl="0" w:tentative="0">
      <w:start w:val="1"/>
      <w:numFmt w:val="chineseCountingThousand"/>
      <w:lvlText w:val="第%1条"/>
      <w:lvlJc w:val="left"/>
      <w:pPr>
        <w:ind w:left="2831" w:hanging="420"/>
      </w:pPr>
      <w:rPr>
        <w:rFonts w:hint="eastAsia"/>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334A6477"/>
    <w:multiLevelType w:val="multilevel"/>
    <w:tmpl w:val="334A6477"/>
    <w:lvl w:ilvl="0" w:tentative="0">
      <w:start w:val="1"/>
      <w:numFmt w:val="chineseCountingThousand"/>
      <w:pStyle w:val="2"/>
      <w:suff w:val="space"/>
      <w:lvlText w:val="第%1条"/>
      <w:lvlJc w:val="left"/>
      <w:pPr>
        <w:ind w:left="807" w:hanging="567"/>
      </w:pPr>
      <w:rPr>
        <w:rFonts w:hint="eastAsia"/>
        <w:b/>
        <w:lang w:val="en-US"/>
      </w:rPr>
    </w:lvl>
    <w:lvl w:ilvl="1" w:tentative="0">
      <w:start w:val="1"/>
      <w:numFmt w:val="decimal"/>
      <w:pStyle w:val="4"/>
      <w:isLgl/>
      <w:lvlText w:val="%1.%2"/>
      <w:lvlJc w:val="left"/>
      <w:pPr>
        <w:tabs>
          <w:tab w:val="left" w:pos="1476"/>
        </w:tabs>
        <w:ind w:left="1476" w:hanging="576"/>
      </w:pPr>
      <w:rPr>
        <w:b w:val="0"/>
        <w:i w:val="0"/>
        <w:caps w:val="0"/>
        <w:smallCaps w:val="0"/>
        <w:strike w:val="0"/>
        <w:outline w:val="0"/>
        <w:shadow w:val="0"/>
        <w:spacing w:val="0"/>
        <w:kern w:val="0"/>
        <w:position w:val="0"/>
        <w:sz w:val="24"/>
        <w:u w:val="none"/>
      </w:rPr>
    </w:lvl>
    <w:lvl w:ilvl="2" w:tentative="0">
      <w:start w:val="1"/>
      <w:numFmt w:val="lowerLetter"/>
      <w:pStyle w:val="5"/>
      <w:lvlText w:val="(%3)"/>
      <w:lvlJc w:val="left"/>
      <w:pPr>
        <w:tabs>
          <w:tab w:val="left" w:pos="2160"/>
        </w:tabs>
        <w:ind w:left="2160" w:hanging="720"/>
      </w:pPr>
      <w:rPr>
        <w:rFonts w:hint="default" w:ascii="Times New Roman" w:hAnsi="Times New Roman"/>
        <w:b w:val="0"/>
        <w:bCs w:val="0"/>
        <w:i w:val="0"/>
        <w:iCs w:val="0"/>
      </w:rPr>
    </w:lvl>
    <w:lvl w:ilvl="3" w:tentative="0">
      <w:start w:val="1"/>
      <w:numFmt w:val="lowerRoman"/>
      <w:pStyle w:val="6"/>
      <w:lvlText w:val="(%4)"/>
      <w:lvlJc w:val="left"/>
      <w:pPr>
        <w:tabs>
          <w:tab w:val="left" w:pos="1104"/>
        </w:tabs>
        <w:ind w:left="1104" w:hanging="864"/>
      </w:pPr>
      <w:rPr>
        <w:rFonts w:hint="default" w:ascii="Times New Roman" w:hAnsi="Times New Roman"/>
        <w:b w:val="0"/>
        <w:bCs w:val="0"/>
        <w:i w:val="0"/>
        <w:iCs w:val="0"/>
      </w:rPr>
    </w:lvl>
    <w:lvl w:ilvl="4" w:tentative="0">
      <w:start w:val="1"/>
      <w:numFmt w:val="decimal"/>
      <w:pStyle w:val="7"/>
      <w:lvlText w:val="%1.%2.%3.%4.%5"/>
      <w:lvlJc w:val="left"/>
      <w:pPr>
        <w:tabs>
          <w:tab w:val="left" w:pos="1248"/>
        </w:tabs>
        <w:ind w:left="1248" w:hanging="1008"/>
      </w:pPr>
      <w:rPr>
        <w:rFonts w:hint="eastAsia"/>
      </w:rPr>
    </w:lvl>
    <w:lvl w:ilvl="5" w:tentative="0">
      <w:start w:val="1"/>
      <w:numFmt w:val="decimal"/>
      <w:pStyle w:val="8"/>
      <w:lvlText w:val="%1.%2.%3.%4.%5.%6"/>
      <w:lvlJc w:val="left"/>
      <w:pPr>
        <w:tabs>
          <w:tab w:val="left" w:pos="1392"/>
        </w:tabs>
        <w:ind w:left="1392" w:hanging="1152"/>
      </w:pPr>
      <w:rPr>
        <w:rFonts w:hint="eastAsia"/>
      </w:rPr>
    </w:lvl>
    <w:lvl w:ilvl="6" w:tentative="0">
      <w:start w:val="1"/>
      <w:numFmt w:val="decimal"/>
      <w:pStyle w:val="9"/>
      <w:lvlText w:val="%1.%2.%3.%4.%5.%6.%7"/>
      <w:lvlJc w:val="left"/>
      <w:pPr>
        <w:tabs>
          <w:tab w:val="left" w:pos="1536"/>
        </w:tabs>
        <w:ind w:left="1536" w:hanging="1296"/>
      </w:pPr>
      <w:rPr>
        <w:rFonts w:hint="eastAsia"/>
      </w:rPr>
    </w:lvl>
    <w:lvl w:ilvl="7" w:tentative="0">
      <w:start w:val="1"/>
      <w:numFmt w:val="decimal"/>
      <w:pStyle w:val="10"/>
      <w:lvlText w:val="%1.%2.%3.%4.%5.%6.%7.%8"/>
      <w:lvlJc w:val="left"/>
      <w:pPr>
        <w:tabs>
          <w:tab w:val="left" w:pos="1680"/>
        </w:tabs>
        <w:ind w:left="1680" w:hanging="1440"/>
      </w:pPr>
      <w:rPr>
        <w:rFonts w:hint="eastAsia"/>
      </w:rPr>
    </w:lvl>
    <w:lvl w:ilvl="8" w:tentative="0">
      <w:start w:val="1"/>
      <w:numFmt w:val="decimal"/>
      <w:pStyle w:val="11"/>
      <w:lvlText w:val="%1.%2.%3.%4.%5.%6.%7.%8.%9"/>
      <w:lvlJc w:val="left"/>
      <w:pPr>
        <w:tabs>
          <w:tab w:val="left" w:pos="1824"/>
        </w:tabs>
        <w:ind w:left="1824" w:hanging="1584"/>
      </w:pPr>
      <w:rPr>
        <w:rFonts w:hint="eastAsia"/>
      </w:rPr>
    </w:lvl>
  </w:abstractNum>
  <w:abstractNum w:abstractNumId="3">
    <w:nsid w:val="398856D6"/>
    <w:multiLevelType w:val="multilevel"/>
    <w:tmpl w:val="398856D6"/>
    <w:lvl w:ilvl="0" w:tentative="0">
      <w:start w:val="1"/>
      <w:numFmt w:val="japaneseCounting"/>
      <w:lvlText w:val="第%1节"/>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226"/>
    <w:rsid w:val="000043F9"/>
    <w:rsid w:val="000158E3"/>
    <w:rsid w:val="00020FD8"/>
    <w:rsid w:val="00030F0F"/>
    <w:rsid w:val="00031BF3"/>
    <w:rsid w:val="00034E6E"/>
    <w:rsid w:val="000378B6"/>
    <w:rsid w:val="00054E37"/>
    <w:rsid w:val="00055618"/>
    <w:rsid w:val="00057645"/>
    <w:rsid w:val="00061926"/>
    <w:rsid w:val="00061A80"/>
    <w:rsid w:val="000700CB"/>
    <w:rsid w:val="00070186"/>
    <w:rsid w:val="000703F9"/>
    <w:rsid w:val="00074C47"/>
    <w:rsid w:val="00092998"/>
    <w:rsid w:val="00095A72"/>
    <w:rsid w:val="000A4513"/>
    <w:rsid w:val="000A49EC"/>
    <w:rsid w:val="000B79C0"/>
    <w:rsid w:val="000C214A"/>
    <w:rsid w:val="000C51B9"/>
    <w:rsid w:val="000C674B"/>
    <w:rsid w:val="000D33FB"/>
    <w:rsid w:val="000D55DE"/>
    <w:rsid w:val="000D6266"/>
    <w:rsid w:val="000E14DC"/>
    <w:rsid w:val="000F2B6A"/>
    <w:rsid w:val="00105BF6"/>
    <w:rsid w:val="00105DAF"/>
    <w:rsid w:val="00106557"/>
    <w:rsid w:val="0012170B"/>
    <w:rsid w:val="00127114"/>
    <w:rsid w:val="001301F7"/>
    <w:rsid w:val="001348AE"/>
    <w:rsid w:val="0013510C"/>
    <w:rsid w:val="00154BBD"/>
    <w:rsid w:val="001604A8"/>
    <w:rsid w:val="00172DAD"/>
    <w:rsid w:val="00180E00"/>
    <w:rsid w:val="00182132"/>
    <w:rsid w:val="00184CBE"/>
    <w:rsid w:val="00186E52"/>
    <w:rsid w:val="001A17A0"/>
    <w:rsid w:val="001A2F9F"/>
    <w:rsid w:val="001B349C"/>
    <w:rsid w:val="001B7133"/>
    <w:rsid w:val="001C2AF9"/>
    <w:rsid w:val="001C406E"/>
    <w:rsid w:val="001D0A60"/>
    <w:rsid w:val="001D2074"/>
    <w:rsid w:val="001D2613"/>
    <w:rsid w:val="001F2C09"/>
    <w:rsid w:val="00205561"/>
    <w:rsid w:val="00211471"/>
    <w:rsid w:val="00220006"/>
    <w:rsid w:val="0022696E"/>
    <w:rsid w:val="002320D4"/>
    <w:rsid w:val="0023551D"/>
    <w:rsid w:val="00242BA8"/>
    <w:rsid w:val="00250375"/>
    <w:rsid w:val="0026542C"/>
    <w:rsid w:val="00266522"/>
    <w:rsid w:val="00274CBC"/>
    <w:rsid w:val="002859DD"/>
    <w:rsid w:val="00286836"/>
    <w:rsid w:val="002947B5"/>
    <w:rsid w:val="002B3F63"/>
    <w:rsid w:val="002C4421"/>
    <w:rsid w:val="002C7F29"/>
    <w:rsid w:val="002D04F5"/>
    <w:rsid w:val="002D0CD7"/>
    <w:rsid w:val="002D169A"/>
    <w:rsid w:val="002E173F"/>
    <w:rsid w:val="002E4EB1"/>
    <w:rsid w:val="002F09A1"/>
    <w:rsid w:val="002F0B7F"/>
    <w:rsid w:val="003041A3"/>
    <w:rsid w:val="00326DB3"/>
    <w:rsid w:val="00333FB1"/>
    <w:rsid w:val="003341F9"/>
    <w:rsid w:val="00336E8E"/>
    <w:rsid w:val="00342081"/>
    <w:rsid w:val="0034404A"/>
    <w:rsid w:val="0034673F"/>
    <w:rsid w:val="00350F76"/>
    <w:rsid w:val="00350FBE"/>
    <w:rsid w:val="00351008"/>
    <w:rsid w:val="00364742"/>
    <w:rsid w:val="00372CA2"/>
    <w:rsid w:val="003817E0"/>
    <w:rsid w:val="00383BA0"/>
    <w:rsid w:val="00385DC5"/>
    <w:rsid w:val="003863A2"/>
    <w:rsid w:val="00387411"/>
    <w:rsid w:val="00391F96"/>
    <w:rsid w:val="00393D42"/>
    <w:rsid w:val="003960A1"/>
    <w:rsid w:val="003A1994"/>
    <w:rsid w:val="003A2B9A"/>
    <w:rsid w:val="003A7545"/>
    <w:rsid w:val="003A75DD"/>
    <w:rsid w:val="003B776D"/>
    <w:rsid w:val="003C2ABE"/>
    <w:rsid w:val="003D0F76"/>
    <w:rsid w:val="003D5584"/>
    <w:rsid w:val="003E4487"/>
    <w:rsid w:val="003F5AB5"/>
    <w:rsid w:val="0041046C"/>
    <w:rsid w:val="00414CA4"/>
    <w:rsid w:val="00415C4E"/>
    <w:rsid w:val="00415CAC"/>
    <w:rsid w:val="00421C58"/>
    <w:rsid w:val="00423C71"/>
    <w:rsid w:val="004331B3"/>
    <w:rsid w:val="004416C2"/>
    <w:rsid w:val="004416C8"/>
    <w:rsid w:val="00450FC2"/>
    <w:rsid w:val="0045361F"/>
    <w:rsid w:val="00454CF0"/>
    <w:rsid w:val="00465F32"/>
    <w:rsid w:val="0046784F"/>
    <w:rsid w:val="00471B27"/>
    <w:rsid w:val="0048598E"/>
    <w:rsid w:val="00487867"/>
    <w:rsid w:val="00491917"/>
    <w:rsid w:val="00494085"/>
    <w:rsid w:val="00494F50"/>
    <w:rsid w:val="004A3AD9"/>
    <w:rsid w:val="004A68DA"/>
    <w:rsid w:val="004B2BA7"/>
    <w:rsid w:val="004B47AA"/>
    <w:rsid w:val="004D4EC8"/>
    <w:rsid w:val="004E7BEC"/>
    <w:rsid w:val="00501790"/>
    <w:rsid w:val="00512675"/>
    <w:rsid w:val="005461BA"/>
    <w:rsid w:val="005506A5"/>
    <w:rsid w:val="00554E94"/>
    <w:rsid w:val="0056130D"/>
    <w:rsid w:val="00564153"/>
    <w:rsid w:val="00564BBA"/>
    <w:rsid w:val="00566460"/>
    <w:rsid w:val="00580518"/>
    <w:rsid w:val="00587A86"/>
    <w:rsid w:val="00591B6D"/>
    <w:rsid w:val="00597722"/>
    <w:rsid w:val="005A3C48"/>
    <w:rsid w:val="005A5BB1"/>
    <w:rsid w:val="005B4EF7"/>
    <w:rsid w:val="005C2833"/>
    <w:rsid w:val="005F464B"/>
    <w:rsid w:val="005F64BA"/>
    <w:rsid w:val="006020EE"/>
    <w:rsid w:val="00610498"/>
    <w:rsid w:val="00630608"/>
    <w:rsid w:val="00641D63"/>
    <w:rsid w:val="00657277"/>
    <w:rsid w:val="00683128"/>
    <w:rsid w:val="006859B1"/>
    <w:rsid w:val="006869A1"/>
    <w:rsid w:val="006A188C"/>
    <w:rsid w:val="006A3938"/>
    <w:rsid w:val="006B2551"/>
    <w:rsid w:val="006B71CB"/>
    <w:rsid w:val="006C3290"/>
    <w:rsid w:val="006C50A4"/>
    <w:rsid w:val="006C7CDF"/>
    <w:rsid w:val="006D1127"/>
    <w:rsid w:val="006D2A25"/>
    <w:rsid w:val="006D5155"/>
    <w:rsid w:val="006E513C"/>
    <w:rsid w:val="006E5676"/>
    <w:rsid w:val="006F3C14"/>
    <w:rsid w:val="006F465C"/>
    <w:rsid w:val="00700631"/>
    <w:rsid w:val="007066DF"/>
    <w:rsid w:val="00717EF7"/>
    <w:rsid w:val="00717F3C"/>
    <w:rsid w:val="00722D21"/>
    <w:rsid w:val="00725319"/>
    <w:rsid w:val="00725FB1"/>
    <w:rsid w:val="00735EBC"/>
    <w:rsid w:val="00742758"/>
    <w:rsid w:val="00742AF4"/>
    <w:rsid w:val="007433A9"/>
    <w:rsid w:val="00743557"/>
    <w:rsid w:val="0074493F"/>
    <w:rsid w:val="0075167B"/>
    <w:rsid w:val="00760E0B"/>
    <w:rsid w:val="0076650D"/>
    <w:rsid w:val="00777886"/>
    <w:rsid w:val="00794C6E"/>
    <w:rsid w:val="00796339"/>
    <w:rsid w:val="007A0685"/>
    <w:rsid w:val="007B4535"/>
    <w:rsid w:val="007B6E9C"/>
    <w:rsid w:val="007C2818"/>
    <w:rsid w:val="007C3F52"/>
    <w:rsid w:val="007C759B"/>
    <w:rsid w:val="007D0682"/>
    <w:rsid w:val="007D06C8"/>
    <w:rsid w:val="007D2C8D"/>
    <w:rsid w:val="007E0221"/>
    <w:rsid w:val="007E26B4"/>
    <w:rsid w:val="007E3BD5"/>
    <w:rsid w:val="007F5496"/>
    <w:rsid w:val="00801DC9"/>
    <w:rsid w:val="008109B1"/>
    <w:rsid w:val="00811E03"/>
    <w:rsid w:val="008140D8"/>
    <w:rsid w:val="0081506C"/>
    <w:rsid w:val="00822399"/>
    <w:rsid w:val="00826134"/>
    <w:rsid w:val="0084277E"/>
    <w:rsid w:val="00852360"/>
    <w:rsid w:val="00867623"/>
    <w:rsid w:val="008758BE"/>
    <w:rsid w:val="0087611A"/>
    <w:rsid w:val="008773B9"/>
    <w:rsid w:val="00891AFE"/>
    <w:rsid w:val="00891E11"/>
    <w:rsid w:val="0089541A"/>
    <w:rsid w:val="008A3871"/>
    <w:rsid w:val="008C242C"/>
    <w:rsid w:val="008C4802"/>
    <w:rsid w:val="008C5728"/>
    <w:rsid w:val="008E01F0"/>
    <w:rsid w:val="009053CD"/>
    <w:rsid w:val="00925F1F"/>
    <w:rsid w:val="009354B2"/>
    <w:rsid w:val="0093601D"/>
    <w:rsid w:val="0093610E"/>
    <w:rsid w:val="00945B82"/>
    <w:rsid w:val="00952A5A"/>
    <w:rsid w:val="0096665D"/>
    <w:rsid w:val="00970017"/>
    <w:rsid w:val="00972789"/>
    <w:rsid w:val="0097511A"/>
    <w:rsid w:val="00987C75"/>
    <w:rsid w:val="009A4A1C"/>
    <w:rsid w:val="009B2ADB"/>
    <w:rsid w:val="009B4F28"/>
    <w:rsid w:val="009B6F2D"/>
    <w:rsid w:val="009C3C79"/>
    <w:rsid w:val="009C658F"/>
    <w:rsid w:val="009C761E"/>
    <w:rsid w:val="009D3022"/>
    <w:rsid w:val="009E0132"/>
    <w:rsid w:val="009E4EB2"/>
    <w:rsid w:val="009E5453"/>
    <w:rsid w:val="00A00079"/>
    <w:rsid w:val="00A0047A"/>
    <w:rsid w:val="00A20D3B"/>
    <w:rsid w:val="00A31B33"/>
    <w:rsid w:val="00A34A2D"/>
    <w:rsid w:val="00A34CC0"/>
    <w:rsid w:val="00A40D81"/>
    <w:rsid w:val="00A43C2D"/>
    <w:rsid w:val="00A54C77"/>
    <w:rsid w:val="00A567DD"/>
    <w:rsid w:val="00A61DA1"/>
    <w:rsid w:val="00A63DD5"/>
    <w:rsid w:val="00A658B5"/>
    <w:rsid w:val="00A76B95"/>
    <w:rsid w:val="00A7768F"/>
    <w:rsid w:val="00A836D3"/>
    <w:rsid w:val="00A911BC"/>
    <w:rsid w:val="00A92C8E"/>
    <w:rsid w:val="00A933CD"/>
    <w:rsid w:val="00AB6F5C"/>
    <w:rsid w:val="00AB76FF"/>
    <w:rsid w:val="00AD5546"/>
    <w:rsid w:val="00AE3F67"/>
    <w:rsid w:val="00AE42EB"/>
    <w:rsid w:val="00AF737B"/>
    <w:rsid w:val="00B11454"/>
    <w:rsid w:val="00B145CF"/>
    <w:rsid w:val="00B24228"/>
    <w:rsid w:val="00B45890"/>
    <w:rsid w:val="00B52F29"/>
    <w:rsid w:val="00B542EA"/>
    <w:rsid w:val="00B54A54"/>
    <w:rsid w:val="00B54BF2"/>
    <w:rsid w:val="00B74CBA"/>
    <w:rsid w:val="00B80107"/>
    <w:rsid w:val="00BB2C6E"/>
    <w:rsid w:val="00BC0F61"/>
    <w:rsid w:val="00BC40BD"/>
    <w:rsid w:val="00BC4E18"/>
    <w:rsid w:val="00BD1076"/>
    <w:rsid w:val="00BD34E6"/>
    <w:rsid w:val="00BE59CD"/>
    <w:rsid w:val="00BF18D4"/>
    <w:rsid w:val="00BF3576"/>
    <w:rsid w:val="00BF456C"/>
    <w:rsid w:val="00C053DD"/>
    <w:rsid w:val="00C22B63"/>
    <w:rsid w:val="00C44A81"/>
    <w:rsid w:val="00C4507F"/>
    <w:rsid w:val="00C53313"/>
    <w:rsid w:val="00C67AB5"/>
    <w:rsid w:val="00C91865"/>
    <w:rsid w:val="00C933BA"/>
    <w:rsid w:val="00CA158A"/>
    <w:rsid w:val="00CA1AC5"/>
    <w:rsid w:val="00CA6F8E"/>
    <w:rsid w:val="00CB3F86"/>
    <w:rsid w:val="00CB4730"/>
    <w:rsid w:val="00CC31C5"/>
    <w:rsid w:val="00CC69EF"/>
    <w:rsid w:val="00CD6DCD"/>
    <w:rsid w:val="00CE2173"/>
    <w:rsid w:val="00CF0293"/>
    <w:rsid w:val="00CF1311"/>
    <w:rsid w:val="00D117F7"/>
    <w:rsid w:val="00D16F91"/>
    <w:rsid w:val="00D201C6"/>
    <w:rsid w:val="00D24354"/>
    <w:rsid w:val="00D31DF4"/>
    <w:rsid w:val="00D40EBC"/>
    <w:rsid w:val="00D454A0"/>
    <w:rsid w:val="00D503A2"/>
    <w:rsid w:val="00D57853"/>
    <w:rsid w:val="00D579A6"/>
    <w:rsid w:val="00D665BC"/>
    <w:rsid w:val="00D73EE4"/>
    <w:rsid w:val="00D75024"/>
    <w:rsid w:val="00D84E29"/>
    <w:rsid w:val="00D87ABE"/>
    <w:rsid w:val="00D944E0"/>
    <w:rsid w:val="00DA5E3B"/>
    <w:rsid w:val="00DC11A8"/>
    <w:rsid w:val="00DC4390"/>
    <w:rsid w:val="00DD141B"/>
    <w:rsid w:val="00DD2152"/>
    <w:rsid w:val="00DD684C"/>
    <w:rsid w:val="00DD7CA7"/>
    <w:rsid w:val="00DE2EBC"/>
    <w:rsid w:val="00DE3EB8"/>
    <w:rsid w:val="00DE564D"/>
    <w:rsid w:val="00DE6341"/>
    <w:rsid w:val="00DE7C50"/>
    <w:rsid w:val="00DF3888"/>
    <w:rsid w:val="00DF39F8"/>
    <w:rsid w:val="00E02F77"/>
    <w:rsid w:val="00E1360E"/>
    <w:rsid w:val="00E325B9"/>
    <w:rsid w:val="00E3334A"/>
    <w:rsid w:val="00E340D1"/>
    <w:rsid w:val="00E54CEA"/>
    <w:rsid w:val="00E62DF2"/>
    <w:rsid w:val="00E62E56"/>
    <w:rsid w:val="00E72838"/>
    <w:rsid w:val="00E764DB"/>
    <w:rsid w:val="00E77533"/>
    <w:rsid w:val="00E80F7F"/>
    <w:rsid w:val="00E8317E"/>
    <w:rsid w:val="00E83C57"/>
    <w:rsid w:val="00E86A64"/>
    <w:rsid w:val="00E95F90"/>
    <w:rsid w:val="00E96FC6"/>
    <w:rsid w:val="00E976EE"/>
    <w:rsid w:val="00EA0201"/>
    <w:rsid w:val="00EB2A19"/>
    <w:rsid w:val="00EB3821"/>
    <w:rsid w:val="00EB753B"/>
    <w:rsid w:val="00ED73D7"/>
    <w:rsid w:val="00EE26D3"/>
    <w:rsid w:val="00EE6B28"/>
    <w:rsid w:val="00EF3650"/>
    <w:rsid w:val="00EF41C2"/>
    <w:rsid w:val="00F127FE"/>
    <w:rsid w:val="00F15AEA"/>
    <w:rsid w:val="00F266FF"/>
    <w:rsid w:val="00F308C6"/>
    <w:rsid w:val="00F35C95"/>
    <w:rsid w:val="00F37F77"/>
    <w:rsid w:val="00F40060"/>
    <w:rsid w:val="00F4306B"/>
    <w:rsid w:val="00F4633E"/>
    <w:rsid w:val="00F47CC5"/>
    <w:rsid w:val="00F50463"/>
    <w:rsid w:val="00F549AC"/>
    <w:rsid w:val="00F66AD1"/>
    <w:rsid w:val="00F7082B"/>
    <w:rsid w:val="00F73D15"/>
    <w:rsid w:val="00F84213"/>
    <w:rsid w:val="00F84B62"/>
    <w:rsid w:val="00F911C5"/>
    <w:rsid w:val="00F94B65"/>
    <w:rsid w:val="00FB04B1"/>
    <w:rsid w:val="00FB27DC"/>
    <w:rsid w:val="00FC2236"/>
    <w:rsid w:val="00FC61D7"/>
    <w:rsid w:val="00FD0495"/>
    <w:rsid w:val="00FD57CF"/>
    <w:rsid w:val="00FD70C8"/>
    <w:rsid w:val="00FD7B6D"/>
    <w:rsid w:val="00FD7EB0"/>
    <w:rsid w:val="00FF5D58"/>
    <w:rsid w:val="01155EAA"/>
    <w:rsid w:val="023F543E"/>
    <w:rsid w:val="028728C0"/>
    <w:rsid w:val="028A2548"/>
    <w:rsid w:val="0361681B"/>
    <w:rsid w:val="04436E0D"/>
    <w:rsid w:val="04FA0B3A"/>
    <w:rsid w:val="058825A7"/>
    <w:rsid w:val="070E21C5"/>
    <w:rsid w:val="071B4038"/>
    <w:rsid w:val="08E902DD"/>
    <w:rsid w:val="08EB3469"/>
    <w:rsid w:val="09BF386B"/>
    <w:rsid w:val="0A3D295B"/>
    <w:rsid w:val="0F02192F"/>
    <w:rsid w:val="0F6C355D"/>
    <w:rsid w:val="101645C1"/>
    <w:rsid w:val="101D772F"/>
    <w:rsid w:val="104851D6"/>
    <w:rsid w:val="111C1C1F"/>
    <w:rsid w:val="12576123"/>
    <w:rsid w:val="14345A34"/>
    <w:rsid w:val="14C11968"/>
    <w:rsid w:val="15001F11"/>
    <w:rsid w:val="153427AB"/>
    <w:rsid w:val="15C75E4B"/>
    <w:rsid w:val="16421F11"/>
    <w:rsid w:val="1696779D"/>
    <w:rsid w:val="17686848"/>
    <w:rsid w:val="176D617B"/>
    <w:rsid w:val="17AD000C"/>
    <w:rsid w:val="17BB6A41"/>
    <w:rsid w:val="19FC6288"/>
    <w:rsid w:val="1A9C3DB4"/>
    <w:rsid w:val="1B322C1F"/>
    <w:rsid w:val="1C2900C3"/>
    <w:rsid w:val="1C2D3246"/>
    <w:rsid w:val="1C895B5E"/>
    <w:rsid w:val="1CEE3304"/>
    <w:rsid w:val="1D297C27"/>
    <w:rsid w:val="1E297809"/>
    <w:rsid w:val="1E3E1D2D"/>
    <w:rsid w:val="1E463EE9"/>
    <w:rsid w:val="1F4B69E7"/>
    <w:rsid w:val="200843F9"/>
    <w:rsid w:val="20160A9C"/>
    <w:rsid w:val="206F7FED"/>
    <w:rsid w:val="20A36C18"/>
    <w:rsid w:val="21B80CDF"/>
    <w:rsid w:val="222C145E"/>
    <w:rsid w:val="23AE1199"/>
    <w:rsid w:val="24065213"/>
    <w:rsid w:val="26361ABD"/>
    <w:rsid w:val="265F25B1"/>
    <w:rsid w:val="27C743FC"/>
    <w:rsid w:val="27D227A2"/>
    <w:rsid w:val="2AC206D4"/>
    <w:rsid w:val="2BB01839"/>
    <w:rsid w:val="2BC55F5B"/>
    <w:rsid w:val="2D4652DE"/>
    <w:rsid w:val="2DB6670B"/>
    <w:rsid w:val="2E9637FB"/>
    <w:rsid w:val="2EEA6B08"/>
    <w:rsid w:val="3028070E"/>
    <w:rsid w:val="322701D4"/>
    <w:rsid w:val="3282506A"/>
    <w:rsid w:val="33392BE6"/>
    <w:rsid w:val="33583DC9"/>
    <w:rsid w:val="33A3065F"/>
    <w:rsid w:val="33DB2875"/>
    <w:rsid w:val="34A15065"/>
    <w:rsid w:val="35575444"/>
    <w:rsid w:val="35BB7014"/>
    <w:rsid w:val="35D3062B"/>
    <w:rsid w:val="375D0761"/>
    <w:rsid w:val="37992F31"/>
    <w:rsid w:val="38650F93"/>
    <w:rsid w:val="38674496"/>
    <w:rsid w:val="3A0A15E0"/>
    <w:rsid w:val="3A4D24F5"/>
    <w:rsid w:val="3B074D38"/>
    <w:rsid w:val="3B0C63DB"/>
    <w:rsid w:val="3B7C422B"/>
    <w:rsid w:val="3BA313E5"/>
    <w:rsid w:val="3BAE2FF9"/>
    <w:rsid w:val="3D741660"/>
    <w:rsid w:val="3D8A40AA"/>
    <w:rsid w:val="3EF065CE"/>
    <w:rsid w:val="3FEA29E1"/>
    <w:rsid w:val="40F947A2"/>
    <w:rsid w:val="41A710C5"/>
    <w:rsid w:val="42CE193C"/>
    <w:rsid w:val="432B2C36"/>
    <w:rsid w:val="43C113B5"/>
    <w:rsid w:val="440C5FB1"/>
    <w:rsid w:val="45803777"/>
    <w:rsid w:val="45806D7F"/>
    <w:rsid w:val="45BA6F71"/>
    <w:rsid w:val="460A3878"/>
    <w:rsid w:val="474F2DAD"/>
    <w:rsid w:val="48831983"/>
    <w:rsid w:val="48B040AA"/>
    <w:rsid w:val="48D8683C"/>
    <w:rsid w:val="49A065EB"/>
    <w:rsid w:val="4A23362D"/>
    <w:rsid w:val="4B994494"/>
    <w:rsid w:val="4CFF2296"/>
    <w:rsid w:val="4ED52394"/>
    <w:rsid w:val="4F573D37"/>
    <w:rsid w:val="504E130D"/>
    <w:rsid w:val="50D95330"/>
    <w:rsid w:val="519B0C71"/>
    <w:rsid w:val="52E76039"/>
    <w:rsid w:val="536C1334"/>
    <w:rsid w:val="550349C1"/>
    <w:rsid w:val="57A25CD3"/>
    <w:rsid w:val="580728BB"/>
    <w:rsid w:val="589A10F9"/>
    <w:rsid w:val="58DB1253"/>
    <w:rsid w:val="5A6951E1"/>
    <w:rsid w:val="5B3845B5"/>
    <w:rsid w:val="5C03792F"/>
    <w:rsid w:val="5C060486"/>
    <w:rsid w:val="5CC475BF"/>
    <w:rsid w:val="5E0324CA"/>
    <w:rsid w:val="5EF96604"/>
    <w:rsid w:val="5F4F24EC"/>
    <w:rsid w:val="5F6E768B"/>
    <w:rsid w:val="606E2944"/>
    <w:rsid w:val="638B005D"/>
    <w:rsid w:val="646B39F5"/>
    <w:rsid w:val="65D06C4E"/>
    <w:rsid w:val="664F5567"/>
    <w:rsid w:val="66E2035A"/>
    <w:rsid w:val="674A518D"/>
    <w:rsid w:val="699C2751"/>
    <w:rsid w:val="6AB37D1A"/>
    <w:rsid w:val="6CB8716B"/>
    <w:rsid w:val="6D4425D2"/>
    <w:rsid w:val="6D850E3D"/>
    <w:rsid w:val="6D8F394B"/>
    <w:rsid w:val="71303E41"/>
    <w:rsid w:val="725C7C50"/>
    <w:rsid w:val="746632C5"/>
    <w:rsid w:val="7523723A"/>
    <w:rsid w:val="75CF5154"/>
    <w:rsid w:val="772241B1"/>
    <w:rsid w:val="784F0A70"/>
    <w:rsid w:val="789B656C"/>
    <w:rsid w:val="78B26191"/>
    <w:rsid w:val="792067C5"/>
    <w:rsid w:val="79D70472"/>
    <w:rsid w:val="7B21178E"/>
    <w:rsid w:val="7B607AF4"/>
    <w:rsid w:val="7B6317FD"/>
    <w:rsid w:val="7B671F02"/>
    <w:rsid w:val="7CB650A7"/>
    <w:rsid w:val="7CE83504"/>
    <w:rsid w:val="7DE42E61"/>
    <w:rsid w:val="7E0D0EDC"/>
    <w:rsid w:val="7E8F695F"/>
    <w:rsid w:val="7EC23E4F"/>
    <w:rsid w:val="CF50C3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0" w:semiHidden="0" w:name="Salutation"/>
    <w:lsdException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3"/>
    <w:link w:val="90"/>
    <w:qFormat/>
    <w:uiPriority w:val="0"/>
    <w:pPr>
      <w:widowControl w:val="0"/>
      <w:numPr>
        <w:ilvl w:val="0"/>
        <w:numId w:val="1"/>
      </w:numPr>
      <w:suppressAutoHyphens/>
      <w:snapToGrid w:val="0"/>
      <w:jc w:val="center"/>
      <w:outlineLvl w:val="0"/>
    </w:pPr>
    <w:rPr>
      <w:b/>
    </w:rPr>
  </w:style>
  <w:style w:type="paragraph" w:styleId="4">
    <w:name w:val="heading 2"/>
    <w:basedOn w:val="1"/>
    <w:next w:val="3"/>
    <w:link w:val="92"/>
    <w:qFormat/>
    <w:uiPriority w:val="0"/>
    <w:pPr>
      <w:widowControl w:val="0"/>
      <w:numPr>
        <w:ilvl w:val="1"/>
        <w:numId w:val="1"/>
      </w:numPr>
      <w:spacing w:before="240" w:beforeLines="0" w:after="240" w:afterLines="0"/>
      <w:outlineLvl w:val="1"/>
    </w:pPr>
    <w:rPr>
      <w:rFonts w:hAnsi="宋体"/>
      <w:b/>
      <w:bCs/>
    </w:rPr>
  </w:style>
  <w:style w:type="paragraph" w:styleId="5">
    <w:name w:val="heading 3"/>
    <w:basedOn w:val="1"/>
    <w:next w:val="3"/>
    <w:link w:val="93"/>
    <w:qFormat/>
    <w:uiPriority w:val="0"/>
    <w:pPr>
      <w:numPr>
        <w:ilvl w:val="2"/>
        <w:numId w:val="1"/>
      </w:numPr>
      <w:suppressAutoHyphens/>
      <w:jc w:val="both"/>
      <w:outlineLvl w:val="2"/>
    </w:pPr>
    <w:rPr>
      <w:rFonts w:ascii="楷体" w:eastAsia="楷体"/>
      <w:b/>
      <w:bCs/>
      <w:u w:val="single"/>
    </w:rPr>
  </w:style>
  <w:style w:type="paragraph" w:styleId="6">
    <w:name w:val="heading 4"/>
    <w:basedOn w:val="1"/>
    <w:next w:val="3"/>
    <w:link w:val="94"/>
    <w:qFormat/>
    <w:uiPriority w:val="0"/>
    <w:pPr>
      <w:numPr>
        <w:ilvl w:val="3"/>
        <w:numId w:val="1"/>
      </w:numPr>
      <w:spacing w:after="240" w:afterLines="0"/>
      <w:outlineLvl w:val="3"/>
    </w:pPr>
  </w:style>
  <w:style w:type="paragraph" w:styleId="7">
    <w:name w:val="heading 5"/>
    <w:basedOn w:val="1"/>
    <w:next w:val="3"/>
    <w:link w:val="95"/>
    <w:qFormat/>
    <w:uiPriority w:val="0"/>
    <w:pPr>
      <w:numPr>
        <w:ilvl w:val="4"/>
        <w:numId w:val="1"/>
      </w:numPr>
      <w:spacing w:after="240" w:afterLines="0"/>
      <w:outlineLvl w:val="4"/>
    </w:pPr>
  </w:style>
  <w:style w:type="paragraph" w:styleId="8">
    <w:name w:val="heading 6"/>
    <w:basedOn w:val="1"/>
    <w:next w:val="3"/>
    <w:link w:val="96"/>
    <w:qFormat/>
    <w:uiPriority w:val="0"/>
    <w:pPr>
      <w:numPr>
        <w:ilvl w:val="5"/>
        <w:numId w:val="1"/>
      </w:numPr>
      <w:spacing w:after="240" w:afterLines="0"/>
      <w:outlineLvl w:val="5"/>
    </w:pPr>
  </w:style>
  <w:style w:type="paragraph" w:styleId="9">
    <w:name w:val="heading 7"/>
    <w:basedOn w:val="1"/>
    <w:next w:val="3"/>
    <w:link w:val="97"/>
    <w:qFormat/>
    <w:uiPriority w:val="0"/>
    <w:pPr>
      <w:numPr>
        <w:ilvl w:val="6"/>
        <w:numId w:val="1"/>
      </w:numPr>
      <w:spacing w:after="240" w:afterLines="0"/>
      <w:outlineLvl w:val="6"/>
    </w:pPr>
  </w:style>
  <w:style w:type="paragraph" w:styleId="10">
    <w:name w:val="heading 8"/>
    <w:basedOn w:val="1"/>
    <w:next w:val="3"/>
    <w:link w:val="98"/>
    <w:qFormat/>
    <w:uiPriority w:val="0"/>
    <w:pPr>
      <w:numPr>
        <w:ilvl w:val="7"/>
        <w:numId w:val="1"/>
      </w:numPr>
      <w:spacing w:after="240" w:afterLines="0"/>
      <w:outlineLvl w:val="7"/>
    </w:pPr>
  </w:style>
  <w:style w:type="paragraph" w:styleId="11">
    <w:name w:val="heading 9"/>
    <w:basedOn w:val="1"/>
    <w:next w:val="3"/>
    <w:link w:val="99"/>
    <w:qFormat/>
    <w:uiPriority w:val="0"/>
    <w:pPr>
      <w:numPr>
        <w:ilvl w:val="8"/>
        <w:numId w:val="1"/>
      </w:numPr>
      <w:spacing w:after="240" w:afterLines="0"/>
      <w:outlineLvl w:val="8"/>
    </w:pPr>
  </w:style>
  <w:style w:type="character" w:default="1" w:styleId="45">
    <w:name w:val="Default Paragraph Font"/>
    <w:unhideWhenUsed/>
    <w:uiPriority w:val="1"/>
  </w:style>
  <w:style w:type="table" w:default="1" w:styleId="44">
    <w:name w:val="Normal Table"/>
    <w:unhideWhenUsed/>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Body Text"/>
    <w:basedOn w:val="1"/>
    <w:link w:val="91"/>
    <w:uiPriority w:val="0"/>
    <w:pPr>
      <w:ind w:firstLine="200" w:firstLineChars="200"/>
    </w:pPr>
  </w:style>
  <w:style w:type="paragraph" w:styleId="12">
    <w:name w:val="toc 7"/>
    <w:basedOn w:val="1"/>
    <w:next w:val="1"/>
    <w:semiHidden/>
    <w:uiPriority w:val="0"/>
    <w:pPr>
      <w:spacing w:after="240" w:afterLines="0"/>
      <w:ind w:left="5040" w:right="432" w:hanging="720"/>
    </w:pPr>
  </w:style>
  <w:style w:type="paragraph" w:styleId="13">
    <w:name w:val="Normal Indent"/>
    <w:basedOn w:val="1"/>
    <w:uiPriority w:val="0"/>
    <w:pPr>
      <w:ind w:firstLine="420" w:firstLineChars="200"/>
    </w:pPr>
  </w:style>
  <w:style w:type="paragraph" w:styleId="14">
    <w:name w:val="Document Map"/>
    <w:basedOn w:val="1"/>
    <w:link w:val="100"/>
    <w:unhideWhenUsed/>
    <w:uiPriority w:val="99"/>
    <w:rPr>
      <w:rFonts w:ascii="宋体"/>
      <w:sz w:val="18"/>
      <w:szCs w:val="18"/>
    </w:rPr>
  </w:style>
  <w:style w:type="paragraph" w:styleId="15">
    <w:name w:val="annotation text"/>
    <w:basedOn w:val="1"/>
    <w:link w:val="101"/>
    <w:semiHidden/>
    <w:uiPriority w:val="0"/>
  </w:style>
  <w:style w:type="paragraph" w:styleId="16">
    <w:name w:val="Salutation"/>
    <w:basedOn w:val="1"/>
    <w:next w:val="1"/>
    <w:link w:val="102"/>
    <w:uiPriority w:val="0"/>
  </w:style>
  <w:style w:type="paragraph" w:styleId="17">
    <w:name w:val="Body Text 3"/>
    <w:basedOn w:val="1"/>
    <w:link w:val="103"/>
    <w:uiPriority w:val="0"/>
    <w:pPr>
      <w:spacing w:line="360" w:lineRule="auto"/>
      <w:ind w:firstLine="1440"/>
    </w:pPr>
  </w:style>
  <w:style w:type="paragraph" w:styleId="18">
    <w:name w:val="Body Text Indent"/>
    <w:basedOn w:val="1"/>
    <w:link w:val="104"/>
    <w:uiPriority w:val="0"/>
    <w:pPr>
      <w:widowControl w:val="0"/>
      <w:ind w:left="684"/>
      <w:jc w:val="both"/>
    </w:pPr>
    <w:rPr>
      <w:sz w:val="20"/>
      <w:szCs w:val="21"/>
    </w:rPr>
  </w:style>
  <w:style w:type="paragraph" w:styleId="19">
    <w:name w:val="Block Text"/>
    <w:basedOn w:val="1"/>
    <w:uiPriority w:val="0"/>
    <w:pPr>
      <w:spacing w:after="240" w:afterLines="0"/>
    </w:pPr>
  </w:style>
  <w:style w:type="paragraph" w:styleId="20">
    <w:name w:val="List Bullet 2"/>
    <w:basedOn w:val="1"/>
    <w:uiPriority w:val="0"/>
    <w:pPr>
      <w:numPr>
        <w:ilvl w:val="0"/>
        <w:numId w:val="2"/>
      </w:numPr>
    </w:pPr>
    <w:rPr>
      <w:szCs w:val="20"/>
      <w:lang w:eastAsia="en-US"/>
    </w:rPr>
  </w:style>
  <w:style w:type="paragraph" w:styleId="21">
    <w:name w:val="toc 5"/>
    <w:basedOn w:val="1"/>
    <w:next w:val="1"/>
    <w:semiHidden/>
    <w:uiPriority w:val="0"/>
    <w:pPr>
      <w:spacing w:after="240" w:afterLines="0"/>
      <w:ind w:left="3600" w:right="432" w:hanging="720"/>
    </w:pPr>
  </w:style>
  <w:style w:type="paragraph" w:styleId="22">
    <w:name w:val="toc 3"/>
    <w:basedOn w:val="1"/>
    <w:next w:val="1"/>
    <w:semiHidden/>
    <w:uiPriority w:val="0"/>
    <w:pPr>
      <w:tabs>
        <w:tab w:val="left" w:pos="1440"/>
        <w:tab w:val="right" w:leader="dot" w:pos="9360"/>
      </w:tabs>
      <w:ind w:left="1440" w:hanging="960"/>
    </w:pPr>
    <w:rPr>
      <w:b/>
      <w:bCs/>
      <w:sz w:val="28"/>
      <w:szCs w:val="28"/>
    </w:rPr>
  </w:style>
  <w:style w:type="paragraph" w:styleId="23">
    <w:name w:val="toc 8"/>
    <w:basedOn w:val="1"/>
    <w:next w:val="1"/>
    <w:semiHidden/>
    <w:uiPriority w:val="0"/>
    <w:pPr>
      <w:spacing w:after="240" w:afterLines="0"/>
      <w:ind w:left="5760" w:right="432" w:hanging="720"/>
    </w:pPr>
  </w:style>
  <w:style w:type="paragraph" w:styleId="24">
    <w:name w:val="Date"/>
    <w:basedOn w:val="1"/>
    <w:next w:val="1"/>
    <w:link w:val="105"/>
    <w:uiPriority w:val="0"/>
    <w:pPr>
      <w:spacing w:after="240" w:afterLines="0"/>
    </w:pPr>
  </w:style>
  <w:style w:type="paragraph" w:styleId="25">
    <w:name w:val="Body Text Indent 2"/>
    <w:basedOn w:val="1"/>
    <w:link w:val="106"/>
    <w:uiPriority w:val="0"/>
    <w:pPr>
      <w:ind w:left="720"/>
    </w:pPr>
    <w:rPr>
      <w:rFonts w:eastAsia="楷体"/>
    </w:rPr>
  </w:style>
  <w:style w:type="paragraph" w:styleId="26">
    <w:name w:val="endnote text"/>
    <w:basedOn w:val="1"/>
    <w:next w:val="27"/>
    <w:link w:val="107"/>
    <w:semiHidden/>
    <w:uiPriority w:val="0"/>
    <w:pPr>
      <w:spacing w:after="200" w:afterLines="0"/>
      <w:ind w:left="720" w:hanging="720"/>
    </w:pPr>
    <w:rPr>
      <w:sz w:val="20"/>
      <w:szCs w:val="20"/>
    </w:rPr>
  </w:style>
  <w:style w:type="paragraph" w:customStyle="1" w:styleId="27">
    <w:name w:val="Endnote TextMore"/>
    <w:basedOn w:val="26"/>
    <w:uiPriority w:val="0"/>
    <w:pPr>
      <w:ind w:firstLine="0"/>
    </w:pPr>
  </w:style>
  <w:style w:type="paragraph" w:styleId="28">
    <w:name w:val="Balloon Text"/>
    <w:basedOn w:val="1"/>
    <w:link w:val="108"/>
    <w:semiHidden/>
    <w:uiPriority w:val="0"/>
    <w:rPr>
      <w:sz w:val="18"/>
      <w:szCs w:val="18"/>
    </w:rPr>
  </w:style>
  <w:style w:type="paragraph" w:styleId="29">
    <w:name w:val="footer"/>
    <w:basedOn w:val="1"/>
    <w:link w:val="109"/>
    <w:unhideWhenUsed/>
    <w:uiPriority w:val="99"/>
    <w:pPr>
      <w:tabs>
        <w:tab w:val="center" w:pos="4153"/>
        <w:tab w:val="right" w:pos="8306"/>
      </w:tabs>
      <w:snapToGrid w:val="0"/>
    </w:pPr>
    <w:rPr>
      <w:sz w:val="18"/>
      <w:szCs w:val="18"/>
    </w:rPr>
  </w:style>
  <w:style w:type="paragraph" w:styleId="30">
    <w:name w:val="header"/>
    <w:basedOn w:val="1"/>
    <w:link w:val="110"/>
    <w:unhideWhenUsed/>
    <w:uiPriority w:val="0"/>
    <w:pPr>
      <w:pBdr>
        <w:bottom w:val="single" w:color="auto" w:sz="6" w:space="1"/>
      </w:pBdr>
      <w:tabs>
        <w:tab w:val="center" w:pos="4153"/>
        <w:tab w:val="right" w:pos="8306"/>
      </w:tabs>
      <w:snapToGrid w:val="0"/>
      <w:jc w:val="center"/>
    </w:pPr>
    <w:rPr>
      <w:sz w:val="18"/>
      <w:szCs w:val="18"/>
    </w:rPr>
  </w:style>
  <w:style w:type="paragraph" w:styleId="31">
    <w:name w:val="Signature"/>
    <w:basedOn w:val="1"/>
    <w:link w:val="111"/>
    <w:uiPriority w:val="0"/>
    <w:pPr>
      <w:ind w:left="4320"/>
    </w:pPr>
    <w:rPr>
      <w:szCs w:val="20"/>
      <w:lang w:eastAsia="en-US"/>
    </w:rPr>
  </w:style>
  <w:style w:type="paragraph" w:styleId="32">
    <w:name w:val="toc 1"/>
    <w:basedOn w:val="1"/>
    <w:next w:val="1"/>
    <w:semiHidden/>
    <w:uiPriority w:val="0"/>
    <w:pPr>
      <w:tabs>
        <w:tab w:val="right" w:leader="dot" w:pos="9360"/>
      </w:tabs>
      <w:jc w:val="both"/>
    </w:pPr>
  </w:style>
  <w:style w:type="paragraph" w:styleId="33">
    <w:name w:val="toc 4"/>
    <w:basedOn w:val="1"/>
    <w:next w:val="1"/>
    <w:semiHidden/>
    <w:uiPriority w:val="0"/>
    <w:pPr>
      <w:tabs>
        <w:tab w:val="right" w:leader="dot" w:pos="8630"/>
      </w:tabs>
      <w:spacing w:after="240" w:afterLines="0"/>
      <w:ind w:left="2880" w:right="432" w:hanging="720"/>
    </w:pPr>
  </w:style>
  <w:style w:type="paragraph" w:styleId="34">
    <w:name w:val="footnote text"/>
    <w:basedOn w:val="1"/>
    <w:next w:val="35"/>
    <w:link w:val="112"/>
    <w:semiHidden/>
    <w:uiPriority w:val="0"/>
    <w:pPr>
      <w:spacing w:after="200" w:afterLines="0"/>
      <w:ind w:left="720" w:hanging="720"/>
    </w:pPr>
    <w:rPr>
      <w:sz w:val="20"/>
      <w:szCs w:val="20"/>
    </w:rPr>
  </w:style>
  <w:style w:type="paragraph" w:customStyle="1" w:styleId="35">
    <w:name w:val="Footnote TextMore"/>
    <w:basedOn w:val="34"/>
    <w:uiPriority w:val="0"/>
    <w:pPr>
      <w:ind w:firstLine="0"/>
    </w:pPr>
  </w:style>
  <w:style w:type="paragraph" w:styleId="36">
    <w:name w:val="toc 6"/>
    <w:basedOn w:val="1"/>
    <w:next w:val="1"/>
    <w:semiHidden/>
    <w:uiPriority w:val="0"/>
    <w:pPr>
      <w:spacing w:after="240" w:afterLines="0"/>
      <w:ind w:left="4320" w:right="432" w:hanging="720"/>
    </w:pPr>
  </w:style>
  <w:style w:type="paragraph" w:styleId="37">
    <w:name w:val="Body Text Indent 3"/>
    <w:basedOn w:val="1"/>
    <w:link w:val="113"/>
    <w:uiPriority w:val="0"/>
    <w:pPr>
      <w:widowControl w:val="0"/>
      <w:ind w:left="324"/>
      <w:jc w:val="both"/>
    </w:pPr>
    <w:rPr>
      <w:sz w:val="20"/>
      <w:szCs w:val="21"/>
    </w:rPr>
  </w:style>
  <w:style w:type="paragraph" w:styleId="38">
    <w:name w:val="toc 2"/>
    <w:basedOn w:val="1"/>
    <w:next w:val="1"/>
    <w:semiHidden/>
    <w:uiPriority w:val="0"/>
    <w:pPr>
      <w:tabs>
        <w:tab w:val="left" w:pos="1080"/>
        <w:tab w:val="right" w:leader="dot" w:pos="9350"/>
      </w:tabs>
      <w:ind w:left="1080" w:right="240" w:hanging="1080"/>
      <w:jc w:val="both"/>
    </w:pPr>
    <w:rPr>
      <w:rFonts w:ascii="宋体" w:hAnsi="宋体" w:cs="宋体"/>
    </w:rPr>
  </w:style>
  <w:style w:type="paragraph" w:styleId="39">
    <w:name w:val="toc 9"/>
    <w:basedOn w:val="1"/>
    <w:next w:val="1"/>
    <w:semiHidden/>
    <w:uiPriority w:val="0"/>
    <w:pPr>
      <w:ind w:left="6480" w:right="432" w:hanging="720"/>
    </w:pPr>
  </w:style>
  <w:style w:type="paragraph" w:styleId="40">
    <w:name w:val="Body Text 2"/>
    <w:basedOn w:val="1"/>
    <w:link w:val="114"/>
    <w:uiPriority w:val="0"/>
    <w:pPr>
      <w:spacing w:line="480" w:lineRule="auto"/>
      <w:ind w:firstLine="1440"/>
    </w:pPr>
  </w:style>
  <w:style w:type="paragraph" w:styleId="41">
    <w:name w:val="Normal (Web)"/>
    <w:basedOn w:val="1"/>
    <w:uiPriority w:val="99"/>
    <w:pPr>
      <w:spacing w:before="100" w:beforeLines="0" w:beforeAutospacing="1" w:after="100" w:afterLines="0" w:afterAutospacing="1"/>
    </w:pPr>
    <w:rPr>
      <w:rFonts w:ascii="宋体" w:hAnsi="宋体" w:cs="宋体"/>
    </w:rPr>
  </w:style>
  <w:style w:type="paragraph" w:styleId="42">
    <w:name w:val="Title"/>
    <w:basedOn w:val="1"/>
    <w:next w:val="3"/>
    <w:link w:val="115"/>
    <w:qFormat/>
    <w:uiPriority w:val="0"/>
    <w:pPr>
      <w:jc w:val="center"/>
    </w:pPr>
    <w:rPr>
      <w:b/>
      <w:bCs/>
      <w:kern w:val="28"/>
    </w:rPr>
  </w:style>
  <w:style w:type="paragraph" w:styleId="43">
    <w:name w:val="annotation subject"/>
    <w:basedOn w:val="15"/>
    <w:next w:val="15"/>
    <w:link w:val="116"/>
    <w:semiHidden/>
    <w:uiPriority w:val="0"/>
    <w:rPr>
      <w:b/>
      <w:bCs/>
    </w:rPr>
  </w:style>
  <w:style w:type="character" w:styleId="46">
    <w:name w:val="page number"/>
    <w:uiPriority w:val="0"/>
    <w:rPr>
      <w:rFonts w:ascii="Times New Roman" w:hAnsi="Times New Roman" w:cs="Times New Roman"/>
      <w:sz w:val="20"/>
      <w:szCs w:val="20"/>
    </w:rPr>
  </w:style>
  <w:style w:type="character" w:styleId="47">
    <w:name w:val="FollowedHyperlink"/>
    <w:uiPriority w:val="0"/>
    <w:rPr>
      <w:color w:val="800080"/>
      <w:u w:val="single"/>
    </w:rPr>
  </w:style>
  <w:style w:type="character" w:styleId="48">
    <w:name w:val="Emphasis"/>
    <w:qFormat/>
    <w:uiPriority w:val="20"/>
    <w:rPr>
      <w:color w:val="CC0000"/>
    </w:rPr>
  </w:style>
  <w:style w:type="character" w:styleId="49">
    <w:name w:val="Hyperlink"/>
    <w:uiPriority w:val="0"/>
    <w:rPr>
      <w:color w:val="0000FF"/>
      <w:u w:val="single"/>
    </w:rPr>
  </w:style>
  <w:style w:type="character" w:styleId="50">
    <w:name w:val="annotation reference"/>
    <w:semiHidden/>
    <w:uiPriority w:val="0"/>
    <w:rPr>
      <w:sz w:val="21"/>
      <w:szCs w:val="21"/>
    </w:rPr>
  </w:style>
  <w:style w:type="character" w:styleId="51">
    <w:name w:val="footnote reference"/>
    <w:semiHidden/>
    <w:uiPriority w:val="0"/>
    <w:rPr>
      <w:vertAlign w:val="superscript"/>
    </w:rPr>
  </w:style>
  <w:style w:type="paragraph" w:customStyle="1" w:styleId="52">
    <w:name w:val="AAR Heading 2"/>
    <w:basedOn w:val="1"/>
    <w:next w:val="13"/>
    <w:link w:val="118"/>
    <w:uiPriority w:val="0"/>
    <w:pPr>
      <w:keepNext/>
      <w:numPr>
        <w:ilvl w:val="1"/>
        <w:numId w:val="2"/>
      </w:numPr>
      <w:spacing w:before="200" w:beforeLines="0" w:line="312" w:lineRule="auto"/>
    </w:pPr>
    <w:rPr>
      <w:rFonts w:ascii="Arial" w:hAnsi="Arial"/>
      <w:b/>
      <w:bCs/>
      <w:sz w:val="20"/>
      <w:szCs w:val="20"/>
      <w:lang w:val="en-AU" w:eastAsia="en-US"/>
    </w:rPr>
  </w:style>
  <w:style w:type="paragraph" w:customStyle="1" w:styleId="53">
    <w:name w:val="标题3"/>
    <w:basedOn w:val="5"/>
    <w:uiPriority w:val="0"/>
    <w:pPr>
      <w:numPr>
        <w:ilvl w:val="2"/>
        <w:numId w:val="0"/>
      </w:numPr>
      <w:tabs>
        <w:tab w:val="left" w:pos="720"/>
        <w:tab w:val="clear" w:pos="2160"/>
      </w:tabs>
      <w:snapToGrid w:val="0"/>
      <w:ind w:left="720" w:hanging="720"/>
      <w:jc w:val="left"/>
    </w:pPr>
  </w:style>
  <w:style w:type="paragraph" w:customStyle="1" w:styleId="54">
    <w:name w:val="Body Text Numbered"/>
    <w:basedOn w:val="3"/>
    <w:uiPriority w:val="0"/>
    <w:pPr>
      <w:ind w:firstLine="0"/>
    </w:pPr>
  </w:style>
  <w:style w:type="paragraph" w:customStyle="1" w:styleId="55">
    <w:name w:val="样式 标题 2 + (符号) Times New Roman"/>
    <w:basedOn w:val="4"/>
    <w:uiPriority w:val="0"/>
    <w:pPr>
      <w:tabs>
        <w:tab w:val="left" w:pos="840"/>
        <w:tab w:val="clear" w:pos="1476"/>
      </w:tabs>
      <w:spacing w:before="0" w:beforeLines="0" w:after="0" w:afterLines="0"/>
    </w:pPr>
    <w:rPr>
      <w:rFonts w:hAnsi="Times New Roman"/>
      <w:b w:val="0"/>
      <w:bCs w:val="0"/>
    </w:rPr>
  </w:style>
  <w:style w:type="paragraph" w:customStyle="1" w:styleId="56">
    <w:name w:val="AAR Heading 3"/>
    <w:basedOn w:val="1"/>
    <w:uiPriority w:val="0"/>
    <w:pPr>
      <w:numPr>
        <w:ilvl w:val="2"/>
        <w:numId w:val="2"/>
      </w:numPr>
      <w:tabs>
        <w:tab w:val="left" w:pos="1418"/>
      </w:tabs>
      <w:spacing w:before="100" w:beforeLines="0" w:line="312" w:lineRule="auto"/>
      <w:outlineLvl w:val="2"/>
    </w:pPr>
    <w:rPr>
      <w:rFonts w:ascii="GarmdITC Bk BT" w:hAnsi="GarmdITC Bk BT" w:cs="GarmdITC Bk BT"/>
      <w:sz w:val="20"/>
      <w:szCs w:val="20"/>
      <w:lang w:val="en-AU" w:eastAsia="en-US"/>
    </w:rPr>
  </w:style>
  <w:style w:type="paragraph" w:customStyle="1" w:styleId="57">
    <w:name w:val="Block Text 1"/>
    <w:basedOn w:val="1"/>
    <w:uiPriority w:val="0"/>
    <w:pPr>
      <w:spacing w:after="240" w:afterLines="0"/>
      <w:ind w:left="1440" w:right="1829"/>
    </w:pPr>
  </w:style>
  <w:style w:type="paragraph" w:customStyle="1" w:styleId="58">
    <w:name w:val="正文 + 左  3.5 字符"/>
    <w:basedOn w:val="55"/>
    <w:uiPriority w:val="0"/>
    <w:pPr>
      <w:numPr>
        <w:ilvl w:val="0"/>
        <w:numId w:val="0"/>
      </w:numPr>
      <w:ind w:left="826" w:leftChars="344"/>
    </w:pPr>
    <w:rPr>
      <w:rFonts w:cs="宋体"/>
    </w:rPr>
  </w:style>
  <w:style w:type="paragraph" w:customStyle="1" w:styleId="59">
    <w:name w:val="Char Char Char Char1"/>
    <w:basedOn w:val="1"/>
    <w:uiPriority w:val="0"/>
    <w:pPr>
      <w:widowControl w:val="0"/>
      <w:jc w:val="both"/>
    </w:pPr>
    <w:rPr>
      <w:kern w:val="2"/>
      <w:sz w:val="21"/>
    </w:rPr>
  </w:style>
  <w:style w:type="paragraph" w:customStyle="1" w:styleId="60">
    <w:name w:val="GN Level 1"/>
    <w:basedOn w:val="1"/>
    <w:uiPriority w:val="0"/>
    <w:pPr>
      <w:tabs>
        <w:tab w:val="left" w:pos="1419"/>
      </w:tabs>
      <w:spacing w:before="100"/>
      <w:ind w:left="1419" w:hanging="709"/>
    </w:pPr>
    <w:rPr>
      <w:rFonts w:ascii="Arial" w:hAnsi="Arial" w:cs="Arial"/>
      <w:vanish/>
      <w:color w:val="000080"/>
      <w:sz w:val="20"/>
      <w:szCs w:val="20"/>
      <w:lang w:val="en-AU" w:eastAsia="en-US"/>
    </w:rPr>
  </w:style>
  <w:style w:type="paragraph" w:customStyle="1" w:styleId="61">
    <w:name w:val="Char Char Char Char Char Char Char"/>
    <w:basedOn w:val="1"/>
    <w:uiPriority w:val="0"/>
    <w:pPr>
      <w:spacing w:after="160" w:afterLines="0" w:line="240" w:lineRule="exact"/>
    </w:pPr>
    <w:rPr>
      <w:rFonts w:ascii="Verdana" w:hAnsi="Verdana"/>
      <w:sz w:val="20"/>
      <w:szCs w:val="20"/>
      <w:lang w:eastAsia="en-US"/>
    </w:rPr>
  </w:style>
  <w:style w:type="paragraph" w:customStyle="1" w:styleId="62">
    <w:name w:val="Title L"/>
    <w:basedOn w:val="42"/>
    <w:uiPriority w:val="0"/>
    <w:pPr>
      <w:jc w:val="left"/>
    </w:pPr>
  </w:style>
  <w:style w:type="paragraph" w:customStyle="1" w:styleId="63">
    <w:name w:val="Body Text 2 J"/>
    <w:basedOn w:val="40"/>
    <w:uiPriority w:val="0"/>
    <w:pPr>
      <w:jc w:val="both"/>
    </w:pPr>
  </w:style>
  <w:style w:type="paragraph" w:customStyle="1" w:styleId="64">
    <w:name w:val="Body Text 3 J"/>
    <w:basedOn w:val="17"/>
    <w:uiPriority w:val="0"/>
    <w:pPr>
      <w:jc w:val="both"/>
    </w:pPr>
  </w:style>
  <w:style w:type="paragraph" w:customStyle="1" w:styleId="65">
    <w:name w:val="Body Text J"/>
    <w:basedOn w:val="3"/>
    <w:uiPriority w:val="0"/>
    <w:pPr>
      <w:jc w:val="both"/>
    </w:pPr>
  </w:style>
  <w:style w:type="paragraph" w:customStyle="1" w:styleId="66">
    <w:name w:val="Block Text .5"/>
    <w:basedOn w:val="19"/>
    <w:uiPriority w:val="0"/>
    <w:pPr>
      <w:ind w:left="720" w:right="720"/>
    </w:pPr>
  </w:style>
  <w:style w:type="paragraph" w:styleId="67">
    <w:name w:val="List Paragraph"/>
    <w:basedOn w:val="1"/>
    <w:qFormat/>
    <w:uiPriority w:val="34"/>
    <w:pPr>
      <w:ind w:firstLine="420" w:firstLineChars="200"/>
    </w:pPr>
  </w:style>
  <w:style w:type="paragraph" w:customStyle="1" w:styleId="68">
    <w:name w:val="FWB_L4"/>
    <w:basedOn w:val="69"/>
    <w:uiPriority w:val="0"/>
    <w:pPr>
      <w:numPr>
        <w:ilvl w:val="0"/>
        <w:numId w:val="0"/>
      </w:numPr>
      <w:tabs>
        <w:tab w:val="left" w:pos="1419"/>
      </w:tabs>
      <w:ind w:left="1419" w:hanging="709"/>
    </w:pPr>
  </w:style>
  <w:style w:type="paragraph" w:customStyle="1" w:styleId="69">
    <w:name w:val="FWB_L3"/>
    <w:basedOn w:val="70"/>
    <w:uiPriority w:val="0"/>
    <w:pPr>
      <w:tabs>
        <w:tab w:val="left" w:pos="1419"/>
      </w:tabs>
    </w:pPr>
  </w:style>
  <w:style w:type="paragraph" w:customStyle="1" w:styleId="70">
    <w:name w:val="FWB_L2"/>
    <w:basedOn w:val="71"/>
    <w:uiPriority w:val="0"/>
    <w:pPr>
      <w:keepNext w:val="0"/>
      <w:keepLines w:val="0"/>
      <w:tabs>
        <w:tab w:val="left" w:pos="1419"/>
      </w:tabs>
      <w:jc w:val="both"/>
      <w:outlineLvl w:val="9"/>
    </w:pPr>
    <w:rPr>
      <w:b w:val="0"/>
      <w:smallCaps w:val="0"/>
    </w:rPr>
  </w:style>
  <w:style w:type="paragraph" w:customStyle="1" w:styleId="71">
    <w:name w:val="FWB_L1"/>
    <w:basedOn w:val="1"/>
    <w:next w:val="70"/>
    <w:uiPriority w:val="0"/>
    <w:pPr>
      <w:keepNext/>
      <w:keepLines/>
      <w:tabs>
        <w:tab w:val="left" w:pos="1419"/>
      </w:tabs>
      <w:spacing w:after="240"/>
      <w:ind w:left="1419" w:hanging="709"/>
      <w:outlineLvl w:val="0"/>
    </w:pPr>
    <w:rPr>
      <w:b/>
      <w:smallCaps/>
      <w:szCs w:val="20"/>
      <w:lang w:val="en-GB" w:eastAsia="en-US"/>
    </w:rPr>
  </w:style>
  <w:style w:type="paragraph" w:customStyle="1" w:styleId="72">
    <w:name w:val="字元 字元 Char Char 字元 字元 Char Char Char Char"/>
    <w:basedOn w:val="1"/>
    <w:uiPriority w:val="0"/>
    <w:pPr>
      <w:tabs>
        <w:tab w:val="left" w:pos="540"/>
        <w:tab w:val="left" w:pos="1260"/>
        <w:tab w:val="left" w:pos="1800"/>
      </w:tabs>
      <w:spacing w:before="240" w:beforeLines="0" w:after="160" w:afterLines="0" w:line="240" w:lineRule="exact"/>
    </w:pPr>
    <w:rPr>
      <w:rFonts w:ascii="Verdana" w:hAnsi="Verdana" w:eastAsia="PMingLiU"/>
      <w:szCs w:val="20"/>
      <w:lang w:eastAsia="en-US"/>
    </w:rPr>
  </w:style>
  <w:style w:type="paragraph" w:customStyle="1" w:styleId="73">
    <w:name w:val="Block Text J"/>
    <w:basedOn w:val="1"/>
    <w:uiPriority w:val="0"/>
    <w:pPr>
      <w:jc w:val="both"/>
    </w:pPr>
  </w:style>
  <w:style w:type="paragraph" w:customStyle="1" w:styleId="74">
    <w:name w:val="Hanging Indent"/>
    <w:basedOn w:val="19"/>
    <w:uiPriority w:val="0"/>
    <w:pPr>
      <w:ind w:left="2160" w:hanging="2160"/>
    </w:pPr>
  </w:style>
  <w:style w:type="paragraph" w:customStyle="1" w:styleId="75">
    <w:name w:val="Char Char"/>
    <w:basedOn w:val="1"/>
    <w:uiPriority w:val="0"/>
    <w:pPr>
      <w:tabs>
        <w:tab w:val="left" w:pos="540"/>
        <w:tab w:val="left" w:pos="1260"/>
        <w:tab w:val="left" w:pos="1800"/>
      </w:tabs>
      <w:spacing w:before="240" w:beforeLines="0" w:after="160" w:afterLines="0" w:line="240" w:lineRule="exact"/>
    </w:pPr>
    <w:rPr>
      <w:rFonts w:ascii="Verdana" w:hAnsi="Verdana" w:eastAsia="PMingLiU"/>
      <w:szCs w:val="20"/>
      <w:lang w:eastAsia="en-US"/>
    </w:rPr>
  </w:style>
  <w:style w:type="paragraph" w:customStyle="1" w:styleId="76">
    <w:name w:val="Indent1"/>
    <w:basedOn w:val="1"/>
    <w:uiPriority w:val="0"/>
    <w:pPr>
      <w:spacing w:before="240" w:beforeLines="0"/>
      <w:ind w:left="851"/>
    </w:pPr>
    <w:rPr>
      <w:rFonts w:ascii="Arial" w:hAnsi="Arial" w:cs="Arial"/>
      <w:sz w:val="20"/>
      <w:szCs w:val="20"/>
      <w:lang w:val="en-AU"/>
    </w:rPr>
  </w:style>
  <w:style w:type="paragraph" w:customStyle="1" w:styleId="77">
    <w:name w:val="FWB_L5"/>
    <w:basedOn w:val="68"/>
    <w:uiPriority w:val="0"/>
  </w:style>
  <w:style w:type="paragraph" w:customStyle="1" w:styleId="78">
    <w:name w:val="FWB_L6"/>
    <w:basedOn w:val="77"/>
    <w:uiPriority w:val="0"/>
  </w:style>
  <w:style w:type="paragraph" w:customStyle="1" w:styleId="79">
    <w:name w:val="FWB_L7"/>
    <w:basedOn w:val="78"/>
    <w:uiPriority w:val="0"/>
  </w:style>
  <w:style w:type="paragraph" w:customStyle="1" w:styleId="80">
    <w:name w:val="FWB_L8"/>
    <w:basedOn w:val="79"/>
    <w:uiPriority w:val="0"/>
  </w:style>
  <w:style w:type="paragraph" w:customStyle="1" w:styleId="81">
    <w:name w:val="Char Char26"/>
    <w:basedOn w:val="1"/>
    <w:uiPriority w:val="0"/>
    <w:pPr>
      <w:tabs>
        <w:tab w:val="left" w:pos="540"/>
        <w:tab w:val="left" w:pos="1260"/>
        <w:tab w:val="left" w:pos="1800"/>
      </w:tabs>
      <w:spacing w:before="240" w:beforeLines="0" w:after="160" w:afterLines="0" w:line="240" w:lineRule="exact"/>
    </w:pPr>
    <w:rPr>
      <w:szCs w:val="20"/>
      <w:lang w:eastAsia="en-US"/>
    </w:rPr>
  </w:style>
  <w:style w:type="paragraph" w:customStyle="1" w:styleId="82">
    <w:name w:val="Char Char Char Char Char Char"/>
    <w:basedOn w:val="1"/>
    <w:uiPriority w:val="0"/>
    <w:pPr>
      <w:tabs>
        <w:tab w:val="left" w:pos="540"/>
        <w:tab w:val="left" w:pos="1260"/>
        <w:tab w:val="left" w:pos="1800"/>
      </w:tabs>
      <w:spacing w:before="240" w:beforeLines="0" w:after="160" w:afterLines="0" w:line="240" w:lineRule="exact"/>
    </w:pPr>
    <w:rPr>
      <w:rFonts w:ascii="Verdana" w:hAnsi="Verdana" w:eastAsia="PMingLiU"/>
      <w:szCs w:val="20"/>
      <w:lang w:eastAsia="en-US"/>
    </w:rPr>
  </w:style>
  <w:style w:type="paragraph" w:customStyle="1" w:styleId="83">
    <w:name w:val="Char Char38"/>
    <w:basedOn w:val="1"/>
    <w:uiPriority w:val="0"/>
    <w:pPr>
      <w:spacing w:after="160" w:afterLines="0" w:line="240" w:lineRule="exact"/>
    </w:pPr>
    <w:rPr>
      <w:rFonts w:ascii="Verdana" w:hAnsi="Verdana" w:cs="Verdana"/>
      <w:sz w:val="20"/>
      <w:szCs w:val="20"/>
      <w:lang w:eastAsia="en-US"/>
    </w:rPr>
  </w:style>
  <w:style w:type="paragraph" w:customStyle="1" w:styleId="84">
    <w:name w:val="AAR Heading 4"/>
    <w:basedOn w:val="1"/>
    <w:uiPriority w:val="0"/>
    <w:pPr>
      <w:numPr>
        <w:ilvl w:val="3"/>
        <w:numId w:val="2"/>
      </w:numPr>
      <w:spacing w:before="100" w:beforeLines="0" w:line="312" w:lineRule="auto"/>
      <w:outlineLvl w:val="3"/>
    </w:pPr>
    <w:rPr>
      <w:rFonts w:ascii="GarmdITC Bk BT" w:hAnsi="GarmdITC Bk BT" w:cs="GarmdITC Bk BT"/>
      <w:sz w:val="20"/>
      <w:szCs w:val="20"/>
      <w:lang w:val="en-AU" w:eastAsia="en-US"/>
    </w:rPr>
  </w:style>
  <w:style w:type="paragraph" w:customStyle="1" w:styleId="85">
    <w:name w:val="Char Char Char Char"/>
    <w:basedOn w:val="1"/>
    <w:uiPriority w:val="0"/>
    <w:pPr>
      <w:widowControl w:val="0"/>
      <w:jc w:val="both"/>
    </w:pPr>
    <w:rPr>
      <w:kern w:val="2"/>
      <w:sz w:val="21"/>
    </w:rPr>
  </w:style>
  <w:style w:type="paragraph" w:customStyle="1" w:styleId="86">
    <w:name w:val="Bullet 2"/>
    <w:basedOn w:val="1"/>
    <w:uiPriority w:val="0"/>
    <w:pPr>
      <w:tabs>
        <w:tab w:val="left" w:pos="1419"/>
      </w:tabs>
      <w:spacing w:before="100" w:line="312" w:lineRule="auto"/>
      <w:ind w:left="1419" w:hanging="709"/>
    </w:pPr>
    <w:rPr>
      <w:rFonts w:ascii="GarmdITC Bk BT" w:hAnsi="GarmdITC Bk BT" w:cs="GarmdITC Bk BT"/>
      <w:sz w:val="20"/>
      <w:szCs w:val="20"/>
      <w:lang w:val="en-AU" w:eastAsia="en-US"/>
    </w:rPr>
  </w:style>
  <w:style w:type="paragraph" w:customStyle="1" w:styleId="87">
    <w:name w:val="Defaul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88">
    <w:name w:val="Char Char Char Char2"/>
    <w:basedOn w:val="1"/>
    <w:uiPriority w:val="0"/>
    <w:pPr>
      <w:widowControl w:val="0"/>
      <w:jc w:val="both"/>
    </w:pPr>
    <w:rPr>
      <w:kern w:val="2"/>
      <w:sz w:val="21"/>
    </w:rPr>
  </w:style>
  <w:style w:type="paragraph" w:customStyle="1" w:styleId="89">
    <w:name w:val="_Style 88"/>
    <w:semiHidden/>
    <w:uiPriority w:val="99"/>
    <w:rPr>
      <w:rFonts w:ascii="Times New Roman" w:hAnsi="Times New Roman" w:eastAsia="宋体" w:cs="Times New Roman"/>
      <w:sz w:val="24"/>
      <w:szCs w:val="24"/>
      <w:lang w:val="en-US" w:eastAsia="zh-CN" w:bidi="ar-SA"/>
    </w:rPr>
  </w:style>
  <w:style w:type="character" w:customStyle="1" w:styleId="90">
    <w:name w:val="标题 1 Char"/>
    <w:link w:val="2"/>
    <w:uiPriority w:val="0"/>
    <w:rPr>
      <w:rFonts w:ascii="Times New Roman" w:hAnsi="Times New Roman" w:eastAsia="宋体" w:cs="Times New Roman"/>
      <w:b/>
      <w:kern w:val="0"/>
      <w:sz w:val="24"/>
      <w:szCs w:val="24"/>
    </w:rPr>
  </w:style>
  <w:style w:type="character" w:customStyle="1" w:styleId="91">
    <w:name w:val="正文文本 Char"/>
    <w:link w:val="3"/>
    <w:uiPriority w:val="0"/>
    <w:rPr>
      <w:rFonts w:ascii="Times New Roman" w:hAnsi="Times New Roman" w:eastAsia="宋体" w:cs="Times New Roman"/>
      <w:kern w:val="0"/>
      <w:sz w:val="24"/>
      <w:szCs w:val="24"/>
    </w:rPr>
  </w:style>
  <w:style w:type="character" w:customStyle="1" w:styleId="92">
    <w:name w:val="标题 2 Char"/>
    <w:link w:val="4"/>
    <w:uiPriority w:val="0"/>
    <w:rPr>
      <w:rFonts w:ascii="Times New Roman" w:hAnsi="宋体" w:eastAsia="宋体" w:cs="Times New Roman"/>
      <w:b/>
      <w:bCs/>
      <w:kern w:val="0"/>
      <w:sz w:val="24"/>
      <w:szCs w:val="24"/>
    </w:rPr>
  </w:style>
  <w:style w:type="character" w:customStyle="1" w:styleId="93">
    <w:name w:val="标题 3 Char"/>
    <w:link w:val="5"/>
    <w:uiPriority w:val="0"/>
    <w:rPr>
      <w:rFonts w:ascii="楷体" w:hAnsi="Times New Roman" w:eastAsia="楷体" w:cs="楷体"/>
      <w:b/>
      <w:bCs/>
      <w:kern w:val="0"/>
      <w:sz w:val="24"/>
      <w:szCs w:val="24"/>
      <w:u w:val="single"/>
    </w:rPr>
  </w:style>
  <w:style w:type="character" w:customStyle="1" w:styleId="94">
    <w:name w:val="标题 4 Char"/>
    <w:link w:val="6"/>
    <w:uiPriority w:val="0"/>
    <w:rPr>
      <w:rFonts w:ascii="Times New Roman" w:hAnsi="Times New Roman" w:eastAsia="宋体" w:cs="Times New Roman"/>
      <w:kern w:val="0"/>
      <w:sz w:val="24"/>
      <w:szCs w:val="24"/>
    </w:rPr>
  </w:style>
  <w:style w:type="character" w:customStyle="1" w:styleId="95">
    <w:name w:val="标题 5 Char"/>
    <w:link w:val="7"/>
    <w:uiPriority w:val="0"/>
    <w:rPr>
      <w:rFonts w:ascii="Times New Roman" w:hAnsi="Times New Roman" w:eastAsia="宋体" w:cs="Times New Roman"/>
      <w:kern w:val="0"/>
      <w:sz w:val="24"/>
      <w:szCs w:val="24"/>
    </w:rPr>
  </w:style>
  <w:style w:type="character" w:customStyle="1" w:styleId="96">
    <w:name w:val="标题 6 Char"/>
    <w:link w:val="8"/>
    <w:uiPriority w:val="0"/>
    <w:rPr>
      <w:rFonts w:ascii="Times New Roman" w:hAnsi="Times New Roman" w:eastAsia="宋体" w:cs="Times New Roman"/>
      <w:kern w:val="0"/>
      <w:sz w:val="24"/>
      <w:szCs w:val="24"/>
    </w:rPr>
  </w:style>
  <w:style w:type="character" w:customStyle="1" w:styleId="97">
    <w:name w:val="标题 7 Char"/>
    <w:link w:val="9"/>
    <w:uiPriority w:val="0"/>
    <w:rPr>
      <w:rFonts w:ascii="Times New Roman" w:hAnsi="Times New Roman" w:eastAsia="宋体" w:cs="Times New Roman"/>
      <w:kern w:val="0"/>
      <w:sz w:val="24"/>
      <w:szCs w:val="24"/>
    </w:rPr>
  </w:style>
  <w:style w:type="character" w:customStyle="1" w:styleId="98">
    <w:name w:val="标题 8 Char"/>
    <w:link w:val="10"/>
    <w:uiPriority w:val="0"/>
    <w:rPr>
      <w:rFonts w:ascii="Times New Roman" w:hAnsi="Times New Roman" w:eastAsia="宋体" w:cs="Times New Roman"/>
      <w:kern w:val="0"/>
      <w:sz w:val="24"/>
      <w:szCs w:val="24"/>
    </w:rPr>
  </w:style>
  <w:style w:type="character" w:customStyle="1" w:styleId="99">
    <w:name w:val="标题 9 Char"/>
    <w:link w:val="11"/>
    <w:uiPriority w:val="0"/>
    <w:rPr>
      <w:rFonts w:ascii="Times New Roman" w:hAnsi="Times New Roman" w:eastAsia="宋体" w:cs="Times New Roman"/>
      <w:kern w:val="0"/>
      <w:sz w:val="24"/>
      <w:szCs w:val="24"/>
    </w:rPr>
  </w:style>
  <w:style w:type="character" w:customStyle="1" w:styleId="100">
    <w:name w:val="文档结构图 Char"/>
    <w:link w:val="14"/>
    <w:semiHidden/>
    <w:uiPriority w:val="99"/>
    <w:rPr>
      <w:rFonts w:ascii="宋体" w:hAnsi="Times New Roman"/>
      <w:sz w:val="18"/>
      <w:szCs w:val="18"/>
    </w:rPr>
  </w:style>
  <w:style w:type="character" w:customStyle="1" w:styleId="101">
    <w:name w:val="批注文字 Char"/>
    <w:link w:val="15"/>
    <w:semiHidden/>
    <w:uiPriority w:val="0"/>
    <w:rPr>
      <w:rFonts w:ascii="Times New Roman" w:hAnsi="Times New Roman" w:eastAsia="宋体" w:cs="Times New Roman"/>
      <w:kern w:val="0"/>
      <w:sz w:val="24"/>
      <w:szCs w:val="24"/>
    </w:rPr>
  </w:style>
  <w:style w:type="character" w:customStyle="1" w:styleId="102">
    <w:name w:val="称呼 Char"/>
    <w:link w:val="16"/>
    <w:uiPriority w:val="0"/>
    <w:rPr>
      <w:rFonts w:ascii="Times New Roman" w:hAnsi="Times New Roman" w:eastAsia="宋体" w:cs="Times New Roman"/>
      <w:kern w:val="0"/>
      <w:sz w:val="24"/>
      <w:szCs w:val="24"/>
    </w:rPr>
  </w:style>
  <w:style w:type="character" w:customStyle="1" w:styleId="103">
    <w:name w:val="正文文本 3 Char"/>
    <w:link w:val="17"/>
    <w:uiPriority w:val="0"/>
    <w:rPr>
      <w:rFonts w:ascii="Times New Roman" w:hAnsi="Times New Roman" w:eastAsia="宋体" w:cs="Times New Roman"/>
      <w:kern w:val="0"/>
      <w:sz w:val="24"/>
      <w:szCs w:val="24"/>
    </w:rPr>
  </w:style>
  <w:style w:type="character" w:customStyle="1" w:styleId="104">
    <w:name w:val="正文文本缩进 Char"/>
    <w:link w:val="18"/>
    <w:uiPriority w:val="0"/>
    <w:rPr>
      <w:rFonts w:ascii="Times New Roman" w:hAnsi="Times New Roman" w:eastAsia="宋体" w:cs="Times New Roman"/>
      <w:szCs w:val="21"/>
    </w:rPr>
  </w:style>
  <w:style w:type="character" w:customStyle="1" w:styleId="105">
    <w:name w:val="日期 Char"/>
    <w:link w:val="24"/>
    <w:uiPriority w:val="0"/>
    <w:rPr>
      <w:rFonts w:ascii="Times New Roman" w:hAnsi="Times New Roman" w:eastAsia="宋体" w:cs="Times New Roman"/>
      <w:kern w:val="0"/>
      <w:sz w:val="24"/>
      <w:szCs w:val="24"/>
    </w:rPr>
  </w:style>
  <w:style w:type="character" w:customStyle="1" w:styleId="106">
    <w:name w:val="正文文本缩进 2 Char"/>
    <w:link w:val="25"/>
    <w:uiPriority w:val="0"/>
    <w:rPr>
      <w:rFonts w:ascii="Times New Roman" w:hAnsi="Times New Roman" w:eastAsia="楷体" w:cs="Times New Roman"/>
      <w:kern w:val="0"/>
      <w:sz w:val="24"/>
      <w:szCs w:val="24"/>
    </w:rPr>
  </w:style>
  <w:style w:type="character" w:customStyle="1" w:styleId="107">
    <w:name w:val="尾注文本 Char"/>
    <w:link w:val="26"/>
    <w:semiHidden/>
    <w:uiPriority w:val="0"/>
    <w:rPr>
      <w:rFonts w:ascii="Times New Roman" w:hAnsi="Times New Roman" w:eastAsia="宋体" w:cs="Times New Roman"/>
      <w:kern w:val="0"/>
      <w:sz w:val="20"/>
      <w:szCs w:val="20"/>
    </w:rPr>
  </w:style>
  <w:style w:type="character" w:customStyle="1" w:styleId="108">
    <w:name w:val="批注框文本 Char"/>
    <w:link w:val="28"/>
    <w:semiHidden/>
    <w:uiPriority w:val="0"/>
    <w:rPr>
      <w:rFonts w:ascii="Times New Roman" w:hAnsi="Times New Roman" w:eastAsia="宋体" w:cs="Times New Roman"/>
      <w:kern w:val="0"/>
      <w:sz w:val="18"/>
      <w:szCs w:val="18"/>
    </w:rPr>
  </w:style>
  <w:style w:type="character" w:customStyle="1" w:styleId="109">
    <w:name w:val="页脚 Char"/>
    <w:link w:val="29"/>
    <w:uiPriority w:val="99"/>
    <w:rPr>
      <w:rFonts w:ascii="Times New Roman" w:hAnsi="Times New Roman" w:eastAsia="宋体" w:cs="Times New Roman"/>
      <w:kern w:val="0"/>
      <w:sz w:val="18"/>
      <w:szCs w:val="18"/>
    </w:rPr>
  </w:style>
  <w:style w:type="character" w:customStyle="1" w:styleId="110">
    <w:name w:val="页眉 Char"/>
    <w:link w:val="30"/>
    <w:uiPriority w:val="0"/>
    <w:rPr>
      <w:rFonts w:ascii="Times New Roman" w:hAnsi="Times New Roman" w:eastAsia="宋体" w:cs="Times New Roman"/>
      <w:kern w:val="0"/>
      <w:sz w:val="18"/>
      <w:szCs w:val="18"/>
    </w:rPr>
  </w:style>
  <w:style w:type="character" w:customStyle="1" w:styleId="111">
    <w:name w:val="签名 Char"/>
    <w:link w:val="31"/>
    <w:uiPriority w:val="0"/>
    <w:rPr>
      <w:rFonts w:ascii="Times New Roman" w:hAnsi="Times New Roman" w:eastAsia="宋体" w:cs="Times New Roman"/>
      <w:kern w:val="0"/>
      <w:sz w:val="24"/>
      <w:szCs w:val="20"/>
      <w:lang w:eastAsia="en-US"/>
    </w:rPr>
  </w:style>
  <w:style w:type="character" w:customStyle="1" w:styleId="112">
    <w:name w:val="脚注文本 Char"/>
    <w:link w:val="34"/>
    <w:semiHidden/>
    <w:uiPriority w:val="0"/>
    <w:rPr>
      <w:rFonts w:ascii="Times New Roman" w:hAnsi="Times New Roman" w:eastAsia="宋体" w:cs="Times New Roman"/>
      <w:kern w:val="0"/>
      <w:sz w:val="20"/>
      <w:szCs w:val="20"/>
    </w:rPr>
  </w:style>
  <w:style w:type="character" w:customStyle="1" w:styleId="113">
    <w:name w:val="正文文本缩进 3 Char"/>
    <w:link w:val="37"/>
    <w:uiPriority w:val="0"/>
    <w:rPr>
      <w:rFonts w:ascii="Times New Roman" w:hAnsi="Times New Roman" w:eastAsia="宋体" w:cs="Times New Roman"/>
      <w:szCs w:val="21"/>
    </w:rPr>
  </w:style>
  <w:style w:type="character" w:customStyle="1" w:styleId="114">
    <w:name w:val="正文文本 2 Char"/>
    <w:link w:val="40"/>
    <w:uiPriority w:val="0"/>
    <w:rPr>
      <w:rFonts w:ascii="Times New Roman" w:hAnsi="Times New Roman" w:eastAsia="宋体" w:cs="Times New Roman"/>
      <w:kern w:val="0"/>
      <w:sz w:val="24"/>
      <w:szCs w:val="24"/>
    </w:rPr>
  </w:style>
  <w:style w:type="character" w:customStyle="1" w:styleId="115">
    <w:name w:val="标题 Char"/>
    <w:link w:val="42"/>
    <w:uiPriority w:val="0"/>
    <w:rPr>
      <w:rFonts w:ascii="Times New Roman" w:hAnsi="Times New Roman" w:eastAsia="宋体" w:cs="Times New Roman"/>
      <w:b/>
      <w:bCs/>
      <w:kern w:val="28"/>
      <w:sz w:val="24"/>
      <w:szCs w:val="24"/>
    </w:rPr>
  </w:style>
  <w:style w:type="character" w:customStyle="1" w:styleId="116">
    <w:name w:val="批注主题 Char"/>
    <w:link w:val="43"/>
    <w:semiHidden/>
    <w:uiPriority w:val="0"/>
    <w:rPr>
      <w:rFonts w:ascii="Times New Roman" w:hAnsi="Times New Roman" w:eastAsia="宋体" w:cs="Times New Roman"/>
      <w:b/>
      <w:bCs/>
      <w:kern w:val="0"/>
      <w:sz w:val="24"/>
      <w:szCs w:val="24"/>
    </w:rPr>
  </w:style>
  <w:style w:type="character" w:customStyle="1" w:styleId="117">
    <w:name w:val="DeltaView Insertion"/>
    <w:uiPriority w:val="0"/>
    <w:rPr>
      <w:b/>
      <w:bCs/>
      <w:color w:val="0000FF"/>
      <w:spacing w:val="0"/>
      <w:u w:val="double"/>
    </w:rPr>
  </w:style>
  <w:style w:type="character" w:customStyle="1" w:styleId="118">
    <w:name w:val="AAR Heading 2 Char"/>
    <w:link w:val="52"/>
    <w:locked/>
    <w:uiPriority w:val="0"/>
    <w:rPr>
      <w:rFonts w:ascii="Arial" w:hAnsi="Arial" w:eastAsia="宋体" w:cs="Arial"/>
      <w:b/>
      <w:bCs/>
      <w:kern w:val="0"/>
      <w:sz w:val="20"/>
      <w:szCs w:val="20"/>
      <w:lang w:val="en-AU" w:eastAsia="en-US"/>
    </w:rPr>
  </w:style>
  <w:style w:type="character" w:customStyle="1" w:styleId="119">
    <w:name w:val="DocID"/>
    <w:uiPriority w:val="0"/>
    <w:rPr>
      <w:sz w:val="16"/>
      <w:szCs w:val="16"/>
    </w:rPr>
  </w:style>
  <w:style w:type="character" w:customStyle="1" w:styleId="120">
    <w:name w:val="fontstyle01"/>
    <w:uiPriority w:val="0"/>
    <w:rPr>
      <w:rFonts w:hint="eastAsia" w:ascii="新宋体" w:hAnsi="新宋体" w:eastAsia="新宋体"/>
      <w:color w:val="0000FF"/>
      <w:sz w:val="24"/>
      <w:szCs w:val="24"/>
    </w:rPr>
  </w:style>
  <w:style w:type="character" w:customStyle="1" w:styleId="121">
    <w:name w:val="emailstyle15"/>
    <w:basedOn w:val="45"/>
    <w:uiPriority w:val="0"/>
    <w:rPr>
      <w:rFonts w:hint="default" w:ascii="Calibri" w:hAnsi="Calibri" w:eastAsia="宋体" w:cs="Times New Roman"/>
      <w:color w:val="auto"/>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3540</Words>
  <Characters>20180</Characters>
  <Lines>1</Lines>
  <Paragraphs>1</Paragraphs>
  <TotalTime>480</TotalTime>
  <ScaleCrop>false</ScaleCrop>
  <LinksUpToDate>false</LinksUpToDate>
  <CharactersWithSpaces>23673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2021-03-03T16:51:00Z</dcterms:created>
  <dc:creator>Intern16</dc:creator>
  <cp:lastModifiedBy>Administrator</cp:lastModifiedBy>
  <cp:lastPrinted>2025-01-16T15:22:00Z</cp:lastPrinted>
  <dcterms:modified xsi:type="dcterms:W3CDTF">2025-06-18T06:33:22Z</dcterms:modified>
  <dc:title>凤翔中银富登村镇银行有限公司章程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634D980A7E604DD3916941AB45973701</vt:lpwstr>
  </property>
</Properties>
</file>