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E8" w:rsidRDefault="00A108D9">
      <w:pPr>
        <w:pStyle w:val="af2"/>
        <w:spacing w:line="600" w:lineRule="exact"/>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14</w:t>
      </w:r>
    </w:p>
    <w:p w:rsidR="004165E8" w:rsidRDefault="004165E8">
      <w:pPr>
        <w:pStyle w:val="af2"/>
        <w:spacing w:line="600" w:lineRule="exact"/>
        <w:jc w:val="left"/>
        <w:rPr>
          <w:rFonts w:ascii="黑体" w:eastAsia="黑体" w:hAnsi="黑体" w:cs="黑体"/>
          <w:bCs/>
          <w:sz w:val="32"/>
          <w:szCs w:val="32"/>
        </w:rPr>
      </w:pPr>
    </w:p>
    <w:p w:rsidR="004165E8" w:rsidRDefault="00A108D9">
      <w:pPr>
        <w:pStyle w:val="1"/>
        <w:spacing w:line="600" w:lineRule="exact"/>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市场风险标准法计量规则</w:t>
      </w:r>
    </w:p>
    <w:p w:rsidR="004165E8" w:rsidRDefault="004165E8">
      <w:pPr>
        <w:widowControl/>
        <w:spacing w:line="600" w:lineRule="exact"/>
        <w:ind w:firstLineChars="200" w:firstLine="602"/>
        <w:rPr>
          <w:rFonts w:ascii="仿宋_GB2312" w:eastAsia="仿宋_GB2312" w:hAnsi="宋体" w:cs="宋体"/>
          <w:b/>
          <w:kern w:val="0"/>
          <w:sz w:val="30"/>
          <w:szCs w:val="30"/>
        </w:rPr>
      </w:pPr>
    </w:p>
    <w:p w:rsidR="004165E8" w:rsidRDefault="00A108D9">
      <w:pPr>
        <w:pStyle w:val="20"/>
        <w:spacing w:line="600" w:lineRule="exact"/>
      </w:pPr>
      <w:r>
        <w:rPr>
          <w:rFonts w:hint="eastAsia"/>
        </w:rPr>
        <w:t>一、总体要求</w:t>
      </w:r>
    </w:p>
    <w:p w:rsidR="004165E8" w:rsidRDefault="00A108D9">
      <w:pPr>
        <w:spacing w:line="480" w:lineRule="exact"/>
        <w:ind w:firstLineChars="200" w:firstLine="600"/>
        <w:rPr>
          <w:rFonts w:ascii="仿宋_GB2312" w:eastAsia="仿宋_GB2312"/>
          <w:sz w:val="30"/>
          <w:szCs w:val="30"/>
        </w:rPr>
      </w:pPr>
      <w:bookmarkStart w:id="0" w:name="_Hlk48740279"/>
      <w:bookmarkStart w:id="1" w:name="_Hlk48740053"/>
      <w:r>
        <w:rPr>
          <w:rFonts w:ascii="仿宋_GB2312" w:eastAsia="仿宋_GB2312" w:hint="eastAsia"/>
          <w:sz w:val="30"/>
          <w:szCs w:val="30"/>
        </w:rPr>
        <w:t>（一）商业银行应按照本附件要求计算标准法下市场风险资本要求。</w:t>
      </w:r>
      <w:bookmarkEnd w:id="0"/>
      <w:r>
        <w:rPr>
          <w:rFonts w:ascii="仿宋_GB2312" w:eastAsia="仿宋_GB2312" w:hint="eastAsia"/>
          <w:sz w:val="30"/>
          <w:szCs w:val="30"/>
        </w:rPr>
        <w:t>市场风险资本要求乘以</w:t>
      </w:r>
      <w:r>
        <w:rPr>
          <w:rFonts w:ascii="仿宋_GB2312" w:eastAsia="仿宋_GB2312" w:hint="eastAsia"/>
          <w:sz w:val="30"/>
          <w:szCs w:val="30"/>
        </w:rPr>
        <w:t>12.5</w:t>
      </w:r>
      <w:r>
        <w:rPr>
          <w:rFonts w:ascii="仿宋_GB2312" w:eastAsia="仿宋_GB2312" w:hint="eastAsia"/>
          <w:sz w:val="30"/>
          <w:szCs w:val="30"/>
        </w:rPr>
        <w:t>倍，得到标准法下市场风险加权资产。</w:t>
      </w:r>
    </w:p>
    <w:bookmarkEnd w:id="1"/>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（二）商业银行应分别按月度和季度频率报送法人口径和集团口径的市场风险资本要求。鼓励有条件的商业银行按日计量市场风险资本要求。</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（三）市场风险资本要求由三部分加总：基于敏感度方法的资本要求、违约风险资本要求及剩余风险附加资本要求。</w:t>
      </w:r>
    </w:p>
    <w:p w:rsidR="004165E8" w:rsidRDefault="00A108D9">
      <w:pPr>
        <w:spacing w:line="48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w:t>
      </w:r>
      <w:r>
        <w:rPr>
          <w:rFonts w:ascii="仿宋_GB2312" w:eastAsia="仿宋_GB2312" w:hint="eastAsia"/>
          <w:sz w:val="30"/>
          <w:szCs w:val="30"/>
        </w:rPr>
        <w:t>基于敏感度方法的资本要求</w:t>
      </w:r>
      <w:r>
        <w:rPr>
          <w:rFonts w:ascii="仿宋_GB2312" w:eastAsia="仿宋_GB2312"/>
          <w:sz w:val="30"/>
          <w:szCs w:val="30"/>
        </w:rPr>
        <w:t>由三部分加总：</w:t>
      </w:r>
      <w:r>
        <w:rPr>
          <w:rFonts w:ascii="仿宋_GB2312" w:eastAsia="仿宋_GB2312" w:hint="eastAsia"/>
          <w:sz w:val="30"/>
          <w:szCs w:val="30"/>
        </w:rPr>
        <w:t>得尔塔资本要求、</w:t>
      </w:r>
      <w:proofErr w:type="gramStart"/>
      <w:r>
        <w:rPr>
          <w:rFonts w:ascii="仿宋_GB2312" w:eastAsia="仿宋_GB2312" w:hint="eastAsia"/>
          <w:sz w:val="30"/>
          <w:szCs w:val="30"/>
        </w:rPr>
        <w:t>维伽资本</w:t>
      </w:r>
      <w:proofErr w:type="gramEnd"/>
      <w:r>
        <w:rPr>
          <w:rFonts w:ascii="仿宋_GB2312" w:eastAsia="仿宋_GB2312" w:hint="eastAsia"/>
          <w:sz w:val="30"/>
          <w:szCs w:val="30"/>
        </w:rPr>
        <w:t>要求及曲度资本要求。在加总资本要求时应考虑风险因子间与风险组间的相关性，以反映分散化效应。在金融压力时期相关性会上升或下降，商业银行应分别计算高、中、低三种相关性情景下的资本要求，并</w:t>
      </w:r>
      <w:proofErr w:type="gramStart"/>
      <w:r>
        <w:rPr>
          <w:rFonts w:ascii="仿宋_GB2312" w:eastAsia="仿宋_GB2312" w:hint="eastAsia"/>
          <w:sz w:val="30"/>
          <w:szCs w:val="30"/>
        </w:rPr>
        <w:t>取资本</w:t>
      </w:r>
      <w:proofErr w:type="gramEnd"/>
      <w:r>
        <w:rPr>
          <w:rFonts w:ascii="仿宋_GB2312" w:eastAsia="仿宋_GB2312" w:hint="eastAsia"/>
          <w:sz w:val="30"/>
          <w:szCs w:val="30"/>
        </w:rPr>
        <w:t>加总口径的最大值作为基于敏感度方法下的市场风险资本要求。</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违约风险资本计量参考银行账簿信用风险计量逻辑，并考虑同类风险暴露之间的对冲效应。</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标的为奇异性资产的工具和承担其他剩余风险的工具均要计量剩余风险附加资本要求。</w:t>
      </w:r>
    </w:p>
    <w:p w:rsidR="004165E8" w:rsidRDefault="00A108D9">
      <w:pPr>
        <w:pStyle w:val="20"/>
      </w:pPr>
      <w:r>
        <w:rPr>
          <w:rFonts w:hint="eastAsia"/>
        </w:rPr>
        <w:t>二、基于敏感度方法的资本要求</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敏感度用于计量得尔塔、维伽、曲度的风险资本。</w:t>
      </w:r>
      <w:r>
        <w:rPr>
          <w:rFonts w:ascii="仿宋_GB2312" w:eastAsia="仿宋_GB2312" w:hint="eastAsia"/>
          <w:sz w:val="30"/>
          <w:szCs w:val="30"/>
        </w:rPr>
        <w:t>敏感度指标应进行风险加权并加总，首先在同一风险组内加总，之后在同一风险类别下进行组间加总，最后根据不同相关性情景分别计算并选择资本加总口径的最大值作为基于敏感度方法下该风险类别的风险资本要求。</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商业银行采用基于敏感度方法计量资本要求，应使用与风险管理部门向高级管理</w:t>
      </w:r>
      <w:proofErr w:type="gramStart"/>
      <w:r>
        <w:rPr>
          <w:rFonts w:ascii="仿宋_GB2312" w:eastAsia="仿宋_GB2312" w:hint="eastAsia"/>
          <w:sz w:val="30"/>
          <w:szCs w:val="30"/>
        </w:rPr>
        <w:t>层报告</w:t>
      </w:r>
      <w:proofErr w:type="gramEnd"/>
      <w:r>
        <w:rPr>
          <w:rFonts w:ascii="仿宋_GB2312" w:eastAsia="仿宋_GB2312" w:hint="eastAsia"/>
          <w:sz w:val="30"/>
          <w:szCs w:val="30"/>
        </w:rPr>
        <w:t>市场风险及损益情况相一致的工具价格或估值模型。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商业银行每一风险类别的敏感度以报表货币表示。</w:t>
      </w:r>
      <w:bookmarkStart w:id="2" w:name="_Hlk88598783"/>
      <w:r>
        <w:rPr>
          <w:rFonts w:ascii="仿宋_GB2312" w:eastAsia="仿宋_GB2312" w:hint="eastAsia"/>
          <w:sz w:val="30"/>
          <w:szCs w:val="30"/>
        </w:rPr>
        <w:t>本附件第二部分（四）至（十）所述的每个风险类别下的风险因子</w:t>
      </w:r>
      <w:bookmarkEnd w:id="2"/>
      <w:r>
        <w:rPr>
          <w:rFonts w:ascii="仿宋_GB2312" w:eastAsia="仿宋_GB2312" w:hint="eastAsia"/>
          <w:sz w:val="30"/>
          <w:szCs w:val="30"/>
        </w:rPr>
        <w:t>，其敏感度计量的假设为其他相关风险因子不变。</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（一）得尔塔</w:t>
      </w:r>
      <w:proofErr w:type="gramStart"/>
      <w:r>
        <w:rPr>
          <w:rFonts w:ascii="楷体_GB2312" w:eastAsia="楷体_GB2312" w:hAnsi="黑体" w:hint="eastAsia"/>
          <w:bCs/>
          <w:sz w:val="30"/>
          <w:szCs w:val="30"/>
        </w:rPr>
        <w:t>及维伽敏感度</w:t>
      </w:r>
      <w:proofErr w:type="gramEnd"/>
      <w:r>
        <w:rPr>
          <w:rFonts w:ascii="楷体_GB2312" w:eastAsia="楷体_GB2312" w:hAnsi="黑体" w:hint="eastAsia"/>
          <w:bCs/>
          <w:sz w:val="30"/>
          <w:szCs w:val="30"/>
        </w:rPr>
        <w:t>资本要求</w:t>
      </w:r>
    </w:p>
    <w:p w:rsidR="004165E8" w:rsidRDefault="00A108D9">
      <w:pPr>
        <w:spacing w:line="480" w:lineRule="exact"/>
        <w:ind w:firstLineChars="200" w:firstLine="600"/>
        <w:rPr>
          <w:rFonts w:ascii="仿宋_GB2312" w:eastAsia="仿宋_GB2312"/>
          <w:sz w:val="30"/>
          <w:szCs w:val="30"/>
        </w:rPr>
      </w:pPr>
      <w:r>
        <w:rPr>
          <w:rFonts w:ascii="仿宋_GB2312" w:eastAsia="仿宋_GB2312"/>
          <w:sz w:val="30"/>
          <w:szCs w:val="30"/>
        </w:rPr>
        <w:t>1.</w:t>
      </w:r>
      <w:r>
        <w:rPr>
          <w:sz w:val="30"/>
          <w:szCs w:val="30"/>
        </w:rPr>
        <w:t xml:space="preserve"> </w:t>
      </w:r>
      <w:r>
        <w:rPr>
          <w:rFonts w:ascii="仿宋_GB2312" w:eastAsia="仿宋_GB2312" w:hint="eastAsia"/>
          <w:sz w:val="30"/>
          <w:szCs w:val="30"/>
        </w:rPr>
        <w:t>适用于敏感度方法的工具都应计量得尔塔风险。期权、可分拆嵌入衍生工具、划入交易账簿的含权类金融工具等现金流与基础资产价格为非线性关系的工具都应</w:t>
      </w:r>
      <w:proofErr w:type="gramStart"/>
      <w:r>
        <w:rPr>
          <w:rFonts w:ascii="仿宋_GB2312" w:eastAsia="仿宋_GB2312" w:hint="eastAsia"/>
          <w:sz w:val="30"/>
          <w:szCs w:val="30"/>
        </w:rPr>
        <w:t>计量维伽风险</w:t>
      </w:r>
      <w:proofErr w:type="gramEnd"/>
      <w:r>
        <w:rPr>
          <w:rFonts w:ascii="仿宋_GB2312" w:eastAsia="仿宋_GB2312" w:hint="eastAsia"/>
          <w:sz w:val="30"/>
          <w:szCs w:val="30"/>
        </w:rPr>
        <w:t>。</w:t>
      </w:r>
    </w:p>
    <w:p w:rsidR="004165E8" w:rsidRDefault="00A108D9">
      <w:pPr>
        <w:spacing w:line="48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w:t>
      </w:r>
      <w:r>
        <w:rPr>
          <w:rFonts w:ascii="仿宋_GB2312" w:eastAsia="仿宋_GB2312" w:hint="eastAsia"/>
          <w:sz w:val="30"/>
          <w:szCs w:val="30"/>
        </w:rPr>
        <w:t>对每个风险因子计算得尔塔（或维伽）敏感度。风险因子敏感度应使用线性插值法映射至各指定期限。相同风险因子中方向相反的敏感度相互抵消，得到每个风险因子的净敏感度。</w:t>
      </w:r>
    </w:p>
    <w:p w:rsidR="004165E8" w:rsidRDefault="00A108D9">
      <w:pPr>
        <w:spacing w:line="48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w:t>
      </w:r>
      <w:r>
        <w:rPr>
          <w:rFonts w:ascii="仿宋_GB2312" w:eastAsia="仿宋_GB2312" w:hint="eastAsia"/>
          <w:sz w:val="30"/>
          <w:szCs w:val="30"/>
        </w:rPr>
        <w:t>得尔塔（或维伽）净敏感度与相应的风险权重相乘得到风险因子的加权敏感度。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w:t>
      </w:r>
      <w:r>
        <w:rPr>
          <w:rFonts w:ascii="仿宋_GB2312" w:eastAsia="仿宋_GB2312" w:hint="eastAsia"/>
          <w:sz w:val="30"/>
          <w:szCs w:val="30"/>
        </w:rPr>
        <w:t>风险组的得尔塔敏感度风险头寸（</w:t>
      </w:r>
      <w:proofErr w:type="gramStart"/>
      <w:r>
        <w:rPr>
          <w:rFonts w:ascii="仿宋_GB2312" w:eastAsia="仿宋_GB2312" w:hint="eastAsia"/>
          <w:sz w:val="30"/>
          <w:szCs w:val="30"/>
        </w:rPr>
        <w:t>或维伽敏感度</w:t>
      </w:r>
      <w:proofErr w:type="gramEnd"/>
      <w:r>
        <w:rPr>
          <w:rFonts w:ascii="仿宋_GB2312" w:eastAsia="仿宋_GB2312" w:hint="eastAsia"/>
          <w:sz w:val="30"/>
          <w:szCs w:val="30"/>
        </w:rPr>
        <w:t>风险头寸）</w:t>
      </w:r>
      <w:proofErr w:type="gramStart"/>
      <w:r>
        <w:rPr>
          <w:rFonts w:ascii="仿宋_GB2312" w:eastAsia="仿宋_GB2312" w:hint="eastAsia"/>
          <w:sz w:val="30"/>
          <w:szCs w:val="30"/>
        </w:rPr>
        <w:t>由风险</w:t>
      </w:r>
      <w:proofErr w:type="gramEnd"/>
      <w:r>
        <w:rPr>
          <w:rFonts w:ascii="仿宋_GB2312" w:eastAsia="仿宋_GB2312" w:hint="eastAsia"/>
          <w:sz w:val="30"/>
          <w:szCs w:val="30"/>
        </w:rPr>
        <w:t>组内加总得出，公式如下：</w:t>
      </w:r>
    </w:p>
    <w:p w:rsidR="004165E8" w:rsidRDefault="00A108D9">
      <w:pPr>
        <w:widowControl/>
        <w:jc w:val="center"/>
        <w:rPr>
          <w:rFonts w:ascii="仿宋_GB2312" w:eastAsia="仿宋_GB2312"/>
          <w:sz w:val="30"/>
          <w:szCs w:val="30"/>
        </w:rPr>
      </w:pPr>
      <w:r>
        <w:rPr>
          <w:position w:val="-30"/>
          <w:sz w:val="30"/>
          <w:szCs w:val="30"/>
        </w:rPr>
        <w:object w:dxaOrig="4347" w:dyaOrig="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45pt;height:34.55pt" o:ole="">
            <v:imagedata r:id="rId8" o:title=""/>
          </v:shape>
          <o:OLEObject Type="Embed" ProgID="Equation.DSMT4" ShapeID="_x0000_i1025" DrawAspect="Content" ObjectID="_1765373595" r:id="rId9"/>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其中：</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1</w:t>
      </w:r>
      <w:r>
        <w:rPr>
          <w:rFonts w:ascii="仿宋_GB2312" w:eastAsia="仿宋_GB2312" w:hint="eastAsia"/>
          <w:sz w:val="30"/>
          <w:szCs w:val="30"/>
        </w:rPr>
        <w:t>）</w:t>
      </w:r>
      <w:r>
        <w:rPr>
          <w:position w:val="-12"/>
          <w:sz w:val="30"/>
          <w:szCs w:val="30"/>
        </w:rPr>
        <w:object w:dxaOrig="467" w:dyaOrig="360">
          <v:shape id="_x0000_i1026" type="#_x0000_t75" style="width:23.5pt;height:18.2pt" o:ole="">
            <v:imagedata r:id="rId10" o:title=""/>
          </v:shape>
          <o:OLEObject Type="Embed" ProgID="Equation.DSMT4" ShapeID="_x0000_i1026" DrawAspect="Content" ObjectID="_1765373596" r:id="rId11"/>
        </w:object>
      </w:r>
      <w:r>
        <w:rPr>
          <w:rFonts w:ascii="仿宋_GB2312" w:eastAsia="仿宋_GB2312" w:hint="eastAsia"/>
          <w:sz w:val="30"/>
          <w:szCs w:val="30"/>
        </w:rPr>
        <w:t>是风险因子</w:t>
      </w:r>
      <w:r>
        <w:rPr>
          <w:rFonts w:ascii="仿宋_GB2312" w:eastAsia="仿宋_GB2312"/>
          <w:sz w:val="30"/>
          <w:szCs w:val="30"/>
        </w:rPr>
        <w:t>k</w:t>
      </w:r>
      <w:r>
        <w:rPr>
          <w:rFonts w:ascii="仿宋_GB2312" w:eastAsia="仿宋_GB2312" w:hint="eastAsia"/>
          <w:sz w:val="30"/>
          <w:szCs w:val="30"/>
        </w:rPr>
        <w:t>的加权敏感度，</w:t>
      </w:r>
      <w:r>
        <w:rPr>
          <w:position w:val="-12"/>
          <w:sz w:val="30"/>
          <w:szCs w:val="30"/>
        </w:rPr>
        <w:object w:dxaOrig="453" w:dyaOrig="360">
          <v:shape id="_x0000_i1027" type="#_x0000_t75" style="width:22.8pt;height:18.2pt" o:ole="">
            <v:imagedata r:id="rId12" o:title=""/>
          </v:shape>
          <o:OLEObject Type="Embed" ProgID="Equation.DSMT4" ShapeID="_x0000_i1027" DrawAspect="Content" ObjectID="_1765373597" r:id="rId13"/>
        </w:object>
      </w:r>
      <w:r>
        <w:rPr>
          <w:rFonts w:ascii="仿宋_GB2312" w:eastAsia="仿宋_GB2312" w:hint="eastAsia"/>
          <w:sz w:val="30"/>
          <w:szCs w:val="30"/>
        </w:rPr>
        <w:t>是风险因子</w:t>
      </w:r>
      <w:r>
        <w:rPr>
          <w:rFonts w:ascii="仿宋_GB2312" w:eastAsia="仿宋_GB2312" w:hint="eastAsia"/>
          <w:position w:val="-6"/>
          <w:sz w:val="30"/>
          <w:szCs w:val="30"/>
        </w:rPr>
        <w:object w:dxaOrig="213" w:dyaOrig="387">
          <v:shape id="_x0000_i1028" type="#_x0000_t75" style="width:10.7pt;height:19.25pt" o:ole="">
            <v:imagedata r:id="rId14" o:title=""/>
          </v:shape>
          <o:OLEObject Type="Embed" ProgID="Equation.KSEE3" ShapeID="_x0000_i1028" DrawAspect="Content" ObjectID="_1765373598" r:id="rId15"/>
        </w:object>
      </w:r>
      <w:r>
        <w:rPr>
          <w:rFonts w:ascii="仿宋_GB2312" w:eastAsia="仿宋_GB2312" w:hint="eastAsia"/>
          <w:sz w:val="30"/>
          <w:szCs w:val="30"/>
        </w:rPr>
        <w:t>的加权敏感度；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r>
        <w:rPr>
          <w:position w:val="-12"/>
          <w:sz w:val="30"/>
          <w:szCs w:val="30"/>
        </w:rPr>
        <w:object w:dxaOrig="360" w:dyaOrig="360">
          <v:shape id="_x0000_i1029" type="#_x0000_t75" style="width:18.2pt;height:18.2pt" o:ole="">
            <v:imagedata r:id="rId16" o:title=""/>
          </v:shape>
          <o:OLEObject Type="Embed" ProgID="Equation.DSMT4" ShapeID="_x0000_i1029" DrawAspect="Content" ObjectID="_1765373599" r:id="rId17"/>
        </w:object>
      </w:r>
      <w:r>
        <w:rPr>
          <w:rFonts w:ascii="仿宋_GB2312" w:eastAsia="仿宋_GB2312" w:hint="eastAsia"/>
          <w:sz w:val="30"/>
          <w:szCs w:val="30"/>
        </w:rPr>
        <w:t>是同一风险组内的不同风险因子加权敏感度的相关系数。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w:t>
      </w:r>
      <w:r>
        <w:rPr>
          <w:rFonts w:ascii="仿宋_GB2312" w:eastAsia="仿宋_GB2312" w:hint="eastAsia"/>
          <w:sz w:val="30"/>
          <w:szCs w:val="30"/>
        </w:rPr>
        <w:t>每一风险类别的得尔塔敏感度资本要求（</w:t>
      </w:r>
      <w:proofErr w:type="gramStart"/>
      <w:r>
        <w:rPr>
          <w:rFonts w:ascii="仿宋_GB2312" w:eastAsia="仿宋_GB2312" w:hint="eastAsia"/>
          <w:sz w:val="30"/>
          <w:szCs w:val="30"/>
        </w:rPr>
        <w:t>或维伽敏感度</w:t>
      </w:r>
      <w:proofErr w:type="gramEnd"/>
      <w:r>
        <w:rPr>
          <w:rFonts w:ascii="仿宋_GB2312" w:eastAsia="仿宋_GB2312" w:hint="eastAsia"/>
          <w:sz w:val="30"/>
          <w:szCs w:val="30"/>
        </w:rPr>
        <w:t>资本要求）</w:t>
      </w:r>
      <w:proofErr w:type="gramStart"/>
      <w:r>
        <w:rPr>
          <w:rFonts w:ascii="仿宋_GB2312" w:eastAsia="仿宋_GB2312" w:hint="eastAsia"/>
          <w:sz w:val="30"/>
          <w:szCs w:val="30"/>
        </w:rPr>
        <w:t>由风险组</w:t>
      </w:r>
      <w:proofErr w:type="gramEnd"/>
      <w:r>
        <w:rPr>
          <w:rFonts w:ascii="仿宋_GB2312" w:eastAsia="仿宋_GB2312" w:hint="eastAsia"/>
          <w:sz w:val="30"/>
          <w:szCs w:val="30"/>
        </w:rPr>
        <w:t>间加总得出，公式如下：</w:t>
      </w:r>
    </w:p>
    <w:p w:rsidR="004165E8" w:rsidRDefault="00A108D9">
      <w:pPr>
        <w:widowControl/>
        <w:jc w:val="center"/>
        <w:rPr>
          <w:rFonts w:ascii="仿宋_GB2312" w:eastAsia="仿宋_GB2312"/>
          <w:sz w:val="30"/>
          <w:szCs w:val="30"/>
        </w:rPr>
      </w:pPr>
      <m:oMathPara>
        <m:oMath>
          <m:r>
            <w:rPr>
              <w:rFonts w:ascii="Cambria Math" w:eastAsia="仿宋_GB2312" w:hAnsi="Cambria Math"/>
              <w:sz w:val="30"/>
              <w:szCs w:val="30"/>
            </w:rPr>
            <m:t>Delta</m:t>
          </m:r>
          <m:r>
            <w:rPr>
              <w:rFonts w:ascii="Cambria Math" w:eastAsia="仿宋_GB2312" w:hAnsi="Cambria Math"/>
              <w:sz w:val="30"/>
              <w:szCs w:val="30"/>
            </w:rPr>
            <m:t>(</m:t>
          </m:r>
          <m:r>
            <w:rPr>
              <w:rFonts w:ascii="Cambria Math" w:eastAsia="仿宋_GB2312" w:hAnsi="Cambria Math" w:hint="eastAsia"/>
              <w:sz w:val="30"/>
              <w:szCs w:val="30"/>
            </w:rPr>
            <m:t>或</m:t>
          </m:r>
          <m:r>
            <w:rPr>
              <w:rFonts w:ascii="Cambria Math" w:eastAsia="仿宋_GB2312" w:hAnsi="Cambria Math"/>
              <w:sz w:val="30"/>
              <w:szCs w:val="30"/>
            </w:rPr>
            <m:t>Vega</m:t>
          </m:r>
          <m:r>
            <w:rPr>
              <w:rFonts w:ascii="Cambria Math" w:eastAsia="仿宋_GB2312" w:hAnsi="Cambria Math"/>
              <w:sz w:val="30"/>
              <w:szCs w:val="30"/>
            </w:rPr>
            <m:t>)=</m:t>
          </m:r>
          <m:rad>
            <m:radPr>
              <m:degHide m:val="1"/>
              <m:ctrlPr>
                <w:rPr>
                  <w:rFonts w:ascii="Cambria Math" w:eastAsia="仿宋_GB2312" w:hAnsi="Cambria Math" w:hint="eastAsia"/>
                  <w:i/>
                  <w:sz w:val="30"/>
                  <w:szCs w:val="30"/>
                </w:rPr>
              </m:ctrlPr>
            </m:radPr>
            <m:deg/>
            <m:e>
              <m:limLow>
                <m:limLowPr>
                  <m:ctrlPr>
                    <w:rPr>
                      <w:rFonts w:ascii="Cambria Math" w:eastAsia="仿宋_GB2312" w:hAnsi="Cambria Math" w:hint="eastAsia"/>
                      <w:i/>
                      <w:sz w:val="30"/>
                      <w:szCs w:val="30"/>
                    </w:rPr>
                  </m:ctrlPr>
                </m:limLowPr>
                <m:e>
                  <m:r>
                    <w:rPr>
                      <w:rFonts w:ascii="Cambria Math" w:eastAsia="仿宋_GB2312" w:hAnsi="Cambria Math" w:hint="eastAsia"/>
                      <w:sz w:val="30"/>
                      <w:szCs w:val="30"/>
                    </w:rPr>
                    <m:t>∑</m:t>
                  </m:r>
                </m:e>
                <m:lim>
                  <m:r>
                    <w:rPr>
                      <w:rFonts w:ascii="Cambria Math" w:eastAsia="仿宋_GB2312" w:hAnsi="Cambria Math"/>
                      <w:sz w:val="30"/>
                      <w:szCs w:val="30"/>
                    </w:rPr>
                    <m:t>b</m:t>
                  </m:r>
                </m:lim>
              </m:limLow>
              <m:sSubSup>
                <m:sSubSupPr>
                  <m:ctrlPr>
                    <w:rPr>
                      <w:rFonts w:ascii="Cambria Math" w:eastAsia="仿宋_GB2312" w:hAnsi="Cambria Math" w:hint="eastAsia"/>
                      <w:i/>
                      <w:sz w:val="30"/>
                      <w:szCs w:val="30"/>
                    </w:rPr>
                  </m:ctrlPr>
                </m:sSubSupPr>
                <m:e>
                  <m:r>
                    <w:rPr>
                      <w:rFonts w:ascii="Cambria Math" w:eastAsia="仿宋_GB2312" w:hAnsi="Cambria Math"/>
                      <w:sz w:val="30"/>
                      <w:szCs w:val="30"/>
                    </w:rPr>
                    <m:t>K</m:t>
                  </m:r>
                </m:e>
                <m:sub>
                  <m:r>
                    <w:rPr>
                      <w:rFonts w:ascii="Cambria Math" w:eastAsia="仿宋_GB2312" w:hAnsi="Cambria Math"/>
                      <w:sz w:val="30"/>
                      <w:szCs w:val="30"/>
                    </w:rPr>
                    <m:t>b</m:t>
                  </m:r>
                </m:sub>
                <m:sup>
                  <m:r>
                    <w:rPr>
                      <w:rFonts w:ascii="Cambria Math" w:eastAsia="仿宋_GB2312" w:hAnsi="Cambria Math"/>
                      <w:sz w:val="30"/>
                      <w:szCs w:val="30"/>
                    </w:rPr>
                    <m:t>2</m:t>
                  </m:r>
                </m:sup>
              </m:sSubSup>
              <m:r>
                <w:rPr>
                  <w:rFonts w:ascii="Cambria Math" w:eastAsia="仿宋_GB2312" w:hAnsi="Cambria Math"/>
                  <w:sz w:val="30"/>
                  <w:szCs w:val="30"/>
                </w:rPr>
                <m:t>+</m:t>
              </m:r>
              <m:limLow>
                <m:limLowPr>
                  <m:ctrlPr>
                    <w:rPr>
                      <w:rFonts w:ascii="Cambria Math" w:eastAsia="仿宋_GB2312" w:hAnsi="Cambria Math" w:hint="eastAsia"/>
                      <w:i/>
                      <w:sz w:val="30"/>
                      <w:szCs w:val="30"/>
                    </w:rPr>
                  </m:ctrlPr>
                </m:limLowPr>
                <m:e>
                  <m:r>
                    <w:rPr>
                      <w:rFonts w:ascii="Cambria Math" w:eastAsia="仿宋_GB2312" w:hAnsi="Cambria Math" w:hint="eastAsia"/>
                      <w:sz w:val="30"/>
                      <w:szCs w:val="30"/>
                    </w:rPr>
                    <m:t>∑</m:t>
                  </m:r>
                </m:e>
                <m:lim>
                  <m:r>
                    <w:rPr>
                      <w:rFonts w:ascii="Cambria Math" w:eastAsia="仿宋_GB2312" w:hAnsi="Cambria Math"/>
                      <w:sz w:val="30"/>
                      <w:szCs w:val="30"/>
                    </w:rPr>
                    <m:t>b</m:t>
                  </m:r>
                </m:lim>
              </m:limLow>
              <m:limLow>
                <m:limLowPr>
                  <m:ctrlPr>
                    <w:rPr>
                      <w:rFonts w:ascii="Cambria Math" w:eastAsia="仿宋_GB2312" w:hAnsi="Cambria Math" w:hint="eastAsia"/>
                      <w:i/>
                      <w:sz w:val="30"/>
                      <w:szCs w:val="30"/>
                    </w:rPr>
                  </m:ctrlPr>
                </m:limLowPr>
                <m:e>
                  <m:r>
                    <w:rPr>
                      <w:rFonts w:ascii="Cambria Math" w:eastAsia="仿宋_GB2312" w:hAnsi="Cambria Math" w:hint="eastAsia"/>
                      <w:sz w:val="30"/>
                      <w:szCs w:val="30"/>
                    </w:rPr>
                    <m:t>∑</m:t>
                  </m:r>
                </m:e>
                <m:lim>
                  <m:r>
                    <w:rPr>
                      <w:rFonts w:ascii="Cambria Math" w:eastAsia="仿宋_GB2312" w:hAnsi="Cambria Math"/>
                      <w:sz w:val="30"/>
                      <w:szCs w:val="30"/>
                    </w:rPr>
                    <m:t>c</m:t>
                  </m:r>
                  <m:r>
                    <w:rPr>
                      <w:rFonts w:ascii="Cambria Math" w:eastAsia="仿宋_GB2312" w:hAnsi="Cambria Math" w:hint="eastAsia"/>
                      <w:sz w:val="30"/>
                      <w:szCs w:val="30"/>
                    </w:rPr>
                    <m:t>≠</m:t>
                  </m:r>
                  <m:r>
                    <w:rPr>
                      <w:rFonts w:ascii="Cambria Math" w:eastAsia="仿宋_GB2312" w:hAnsi="Cambria Math"/>
                      <w:sz w:val="30"/>
                      <w:szCs w:val="30"/>
                    </w:rPr>
                    <m:t>b</m:t>
                  </m:r>
                </m:lim>
              </m:limLow>
              <m:sSub>
                <m:sSubPr>
                  <m:ctrlPr>
                    <w:rPr>
                      <w:rFonts w:ascii="Cambria Math" w:eastAsia="仿宋_GB2312" w:hAnsi="Cambria Math" w:hint="eastAsia"/>
                      <w:i/>
                      <w:sz w:val="30"/>
                      <w:szCs w:val="30"/>
                    </w:rPr>
                  </m:ctrlPr>
                </m:sSubPr>
                <m:e>
                  <m:r>
                    <w:rPr>
                      <w:rFonts w:ascii="Cambria Math" w:eastAsia="仿宋_GB2312" w:hAnsi="Cambria Math"/>
                      <w:sz w:val="30"/>
                      <w:szCs w:val="30"/>
                    </w:rPr>
                    <m:t>γ</m:t>
                  </m:r>
                </m:e>
                <m:sub>
                  <m:r>
                    <w:rPr>
                      <w:rFonts w:ascii="Cambria Math" w:eastAsia="仿宋_GB2312" w:hAnsi="Cambria Math"/>
                      <w:sz w:val="30"/>
                      <w:szCs w:val="30"/>
                    </w:rPr>
                    <m:t>bc</m:t>
                  </m:r>
                </m:sub>
              </m:sSub>
              <m:sSub>
                <m:sSubPr>
                  <m:ctrlPr>
                    <w:rPr>
                      <w:rFonts w:ascii="Cambria Math" w:eastAsia="仿宋_GB2312" w:hAnsi="Cambria Math" w:hint="eastAsia"/>
                      <w:i/>
                      <w:sz w:val="30"/>
                      <w:szCs w:val="30"/>
                    </w:rPr>
                  </m:ctrlPr>
                </m:sSubPr>
                <m:e>
                  <m:r>
                    <w:rPr>
                      <w:rFonts w:ascii="Cambria Math" w:eastAsia="仿宋_GB2312" w:hAnsi="Cambria Math"/>
                      <w:sz w:val="30"/>
                      <w:szCs w:val="30"/>
                    </w:rPr>
                    <m:t>S</m:t>
                  </m:r>
                </m:e>
                <m:sub>
                  <m:r>
                    <w:rPr>
                      <w:rFonts w:ascii="Cambria Math" w:eastAsia="仿宋_GB2312" w:hAnsi="Cambria Math"/>
                      <w:sz w:val="30"/>
                      <w:szCs w:val="30"/>
                    </w:rPr>
                    <m:t>b</m:t>
                  </m:r>
                </m:sub>
              </m:sSub>
              <m:sSub>
                <m:sSubPr>
                  <m:ctrlPr>
                    <w:rPr>
                      <w:rFonts w:ascii="Cambria Math" w:eastAsia="仿宋_GB2312" w:hAnsi="Cambria Math" w:hint="eastAsia"/>
                      <w:i/>
                      <w:sz w:val="30"/>
                      <w:szCs w:val="30"/>
                    </w:rPr>
                  </m:ctrlPr>
                </m:sSubPr>
                <m:e>
                  <m:r>
                    <w:rPr>
                      <w:rFonts w:ascii="Cambria Math" w:eastAsia="仿宋_GB2312" w:hAnsi="Cambria Math"/>
                      <w:sz w:val="30"/>
                      <w:szCs w:val="30"/>
                    </w:rPr>
                    <m:t>S</m:t>
                  </m:r>
                </m:e>
                <m:sub>
                  <m:r>
                    <w:rPr>
                      <w:rFonts w:ascii="Cambria Math" w:eastAsia="仿宋_GB2312" w:hAnsi="Cambria Math"/>
                      <w:sz w:val="30"/>
                      <w:szCs w:val="30"/>
                    </w:rPr>
                    <m:t>c</m:t>
                  </m:r>
                </m:sub>
              </m:sSub>
            </m:e>
          </m:rad>
        </m:oMath>
      </m:oMathPara>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其中：</w:t>
      </w:r>
    </w:p>
    <w:p w:rsidR="004165E8" w:rsidRDefault="00A108D9">
      <w:pPr>
        <w:widowControl/>
        <w:spacing w:line="60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w:t>
      </w:r>
      <w:r>
        <w:rPr>
          <w:position w:val="-12"/>
          <w:sz w:val="30"/>
          <w:szCs w:val="30"/>
        </w:rPr>
        <w:object w:dxaOrig="360" w:dyaOrig="360">
          <v:shape id="_x0000_i1030" type="#_x0000_t75" style="width:18.2pt;height:18.2pt" o:ole="">
            <v:imagedata r:id="rId18" o:title=""/>
          </v:shape>
          <o:OLEObject Type="Embed" ProgID="Equation.DSMT4" ShapeID="_x0000_i1030" DrawAspect="Content" ObjectID="_1765373600" r:id="rId19"/>
        </w:object>
      </w:r>
      <w:r>
        <w:rPr>
          <w:rFonts w:ascii="仿宋_GB2312" w:eastAsia="仿宋_GB2312" w:hint="eastAsia"/>
          <w:sz w:val="30"/>
          <w:szCs w:val="30"/>
        </w:rPr>
        <w:t>是不同风险组间的相关系数。</w:t>
      </w:r>
    </w:p>
    <w:p w:rsidR="004165E8" w:rsidRDefault="00A108D9">
      <w:pPr>
        <w:widowControl/>
        <w:ind w:firstLineChars="200" w:firstLine="600"/>
        <w:rPr>
          <w:rFonts w:ascii="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r>
        <w:rPr>
          <w:position w:val="-12"/>
          <w:sz w:val="30"/>
          <w:szCs w:val="30"/>
        </w:rPr>
        <w:object w:dxaOrig="293" w:dyaOrig="360">
          <v:shape id="_x0000_i1031" type="#_x0000_t75" style="width:14.6pt;height:18.2pt" o:ole="">
            <v:imagedata r:id="rId20" o:title=""/>
          </v:shape>
          <o:OLEObject Type="Embed" ProgID="Equation.DSMT4" ShapeID="_x0000_i1031" DrawAspect="Content" ObjectID="_1765373601" r:id="rId21"/>
        </w:object>
      </w:r>
      <w:r>
        <w:rPr>
          <w:rFonts w:ascii="仿宋_GB2312" w:eastAsia="仿宋_GB2312" w:hint="eastAsia"/>
          <w:sz w:val="30"/>
          <w:szCs w:val="30"/>
        </w:rPr>
        <w:t>和</w:t>
      </w:r>
      <w:r>
        <w:rPr>
          <w:position w:val="-12"/>
          <w:sz w:val="30"/>
          <w:szCs w:val="30"/>
        </w:rPr>
        <w:object w:dxaOrig="293" w:dyaOrig="360">
          <v:shape id="_x0000_i1032" type="#_x0000_t75" style="width:14.6pt;height:18.2pt" o:ole="">
            <v:imagedata r:id="rId22" o:title=""/>
          </v:shape>
          <o:OLEObject Type="Embed" ProgID="Equation.DSMT4" ShapeID="_x0000_i1032" DrawAspect="Content" ObjectID="_1765373602" r:id="rId23"/>
        </w:object>
      </w:r>
      <w:r>
        <w:rPr>
          <w:rFonts w:ascii="仿宋_GB2312" w:eastAsia="仿宋_GB2312" w:hint="eastAsia"/>
          <w:sz w:val="30"/>
          <w:szCs w:val="30"/>
        </w:rPr>
        <w:t>分别为风险组</w:t>
      </w:r>
      <w:r>
        <w:rPr>
          <w:rFonts w:ascii="仿宋_GB2312" w:eastAsia="仿宋_GB2312"/>
          <w:sz w:val="30"/>
          <w:szCs w:val="30"/>
        </w:rPr>
        <w:t>b</w:t>
      </w:r>
      <w:r>
        <w:rPr>
          <w:rFonts w:ascii="仿宋_GB2312" w:eastAsia="仿宋_GB2312" w:hint="eastAsia"/>
          <w:sz w:val="30"/>
          <w:szCs w:val="30"/>
        </w:rPr>
        <w:t>和风险组</w:t>
      </w:r>
      <w:r>
        <w:rPr>
          <w:rFonts w:ascii="仿宋_GB2312" w:eastAsia="仿宋_GB2312"/>
          <w:sz w:val="30"/>
          <w:szCs w:val="30"/>
        </w:rPr>
        <w:t>c</w:t>
      </w:r>
      <w:r>
        <w:rPr>
          <w:rFonts w:ascii="仿宋_GB2312" w:eastAsia="仿宋_GB2312" w:hint="eastAsia"/>
          <w:sz w:val="30"/>
          <w:szCs w:val="30"/>
        </w:rPr>
        <w:t>内所有风险因子加权敏感度的简单加总，即</w:t>
      </w:r>
      <w:r>
        <w:rPr>
          <w:position w:val="-22"/>
          <w:sz w:val="30"/>
          <w:szCs w:val="30"/>
        </w:rPr>
        <w:object w:dxaOrig="1187" w:dyaOrig="453">
          <v:shape id="_x0000_i1033" type="#_x0000_t75" style="width:59.5pt;height:22.8pt" o:ole="">
            <v:imagedata r:id="rId24" o:title=""/>
          </v:shape>
          <o:OLEObject Type="Embed" ProgID="Equation.DSMT4" ShapeID="_x0000_i1033" DrawAspect="Content" ObjectID="_1765373603" r:id="rId25"/>
        </w:object>
      </w:r>
      <w:r>
        <w:rPr>
          <w:sz w:val="30"/>
          <w:szCs w:val="30"/>
        </w:rPr>
        <w:t>,</w:t>
      </w:r>
      <w:r>
        <w:rPr>
          <w:position w:val="-22"/>
          <w:sz w:val="30"/>
          <w:szCs w:val="30"/>
        </w:rPr>
        <w:object w:dxaOrig="1187" w:dyaOrig="453">
          <v:shape id="_x0000_i1034" type="#_x0000_t75" style="width:59.5pt;height:22.8pt" o:ole="">
            <v:imagedata r:id="rId26" o:title=""/>
          </v:shape>
          <o:OLEObject Type="Embed" ProgID="Equation.DSMT4" ShapeID="_x0000_i1034" DrawAspect="Content" ObjectID="_1765373604" r:id="rId27"/>
        </w:object>
      </w:r>
      <w:r>
        <w:rPr>
          <w:rFonts w:hint="eastAsia"/>
          <w:sz w:val="30"/>
          <w:szCs w:val="30"/>
        </w:rPr>
        <w:t>。</w:t>
      </w:r>
    </w:p>
    <w:p w:rsidR="004165E8" w:rsidRDefault="00A108D9">
      <w:pPr>
        <w:widowControl/>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）若（</w:t>
      </w:r>
      <w:r>
        <w:rPr>
          <w:rFonts w:ascii="仿宋_GB2312" w:eastAsia="仿宋_GB2312" w:hint="eastAsia"/>
          <w:sz w:val="30"/>
          <w:szCs w:val="30"/>
        </w:rPr>
        <w:t>2</w:t>
      </w:r>
      <w:r>
        <w:rPr>
          <w:rFonts w:ascii="仿宋_GB2312" w:eastAsia="仿宋_GB2312" w:hint="eastAsia"/>
          <w:sz w:val="30"/>
          <w:szCs w:val="30"/>
        </w:rPr>
        <w:t>）中的</w:t>
      </w:r>
      <w:r>
        <w:rPr>
          <w:position w:val="-12"/>
          <w:sz w:val="30"/>
          <w:szCs w:val="30"/>
        </w:rPr>
        <w:object w:dxaOrig="293" w:dyaOrig="360">
          <v:shape id="_x0000_i1035" type="#_x0000_t75" style="width:14.6pt;height:18.2pt" o:ole="">
            <v:imagedata r:id="rId28" o:title=""/>
          </v:shape>
          <o:OLEObject Type="Embed" ProgID="Equation.DSMT4" ShapeID="_x0000_i1035" DrawAspect="Content" ObjectID="_1765373605" r:id="rId29"/>
        </w:object>
      </w:r>
      <w:r>
        <w:rPr>
          <w:rFonts w:ascii="仿宋_GB2312" w:eastAsia="仿宋_GB2312" w:hint="eastAsia"/>
          <w:sz w:val="30"/>
          <w:szCs w:val="30"/>
        </w:rPr>
        <w:t>和</w:t>
      </w:r>
      <w:r>
        <w:rPr>
          <w:position w:val="-12"/>
          <w:sz w:val="30"/>
          <w:szCs w:val="30"/>
        </w:rPr>
        <w:object w:dxaOrig="280" w:dyaOrig="360">
          <v:shape id="_x0000_i1036" type="#_x0000_t75" style="width:13.9pt;height:18.2pt" o:ole="">
            <v:imagedata r:id="rId30" o:title=""/>
          </v:shape>
          <o:OLEObject Type="Embed" ProgID="Equation.DSMT4" ShapeID="_x0000_i1036" DrawAspect="Content" ObjectID="_1765373606" r:id="rId31"/>
        </w:object>
      </w:r>
      <w:r>
        <w:rPr>
          <w:rFonts w:ascii="仿宋_GB2312" w:eastAsia="仿宋_GB2312" w:hint="eastAsia"/>
          <w:sz w:val="30"/>
          <w:szCs w:val="30"/>
        </w:rPr>
        <w:t>计算使得</w:t>
      </w:r>
      <w:r>
        <w:rPr>
          <w:position w:val="-22"/>
          <w:sz w:val="30"/>
          <w:szCs w:val="30"/>
        </w:rPr>
        <w:object w:dxaOrig="1973" w:dyaOrig="467">
          <v:shape id="_x0000_i1037" type="#_x0000_t75" style="width:98.75pt;height:23.5pt" o:ole="">
            <v:imagedata r:id="rId32" o:title=""/>
          </v:shape>
          <o:OLEObject Type="Embed" ProgID="Equation.DSMT4" ShapeID="_x0000_i1037" DrawAspect="Content" ObjectID="_1765373607" r:id="rId33"/>
        </w:object>
      </w:r>
      <w:r>
        <w:rPr>
          <w:rFonts w:ascii="仿宋_GB2312" w:eastAsia="仿宋_GB2312" w:hint="eastAsia"/>
          <w:sz w:val="30"/>
          <w:szCs w:val="30"/>
        </w:rPr>
        <w:t>值为负数，则</w:t>
      </w:r>
      <w:r>
        <w:rPr>
          <w:position w:val="-12"/>
          <w:sz w:val="30"/>
          <w:szCs w:val="30"/>
        </w:rPr>
        <w:object w:dxaOrig="293" w:dyaOrig="360">
          <v:shape id="_x0000_i1038" type="#_x0000_t75" style="width:14.6pt;height:18.2pt" o:ole="">
            <v:imagedata r:id="rId34" o:title=""/>
          </v:shape>
          <o:OLEObject Type="Embed" ProgID="Equation.DSMT4" ShapeID="_x0000_i1038" DrawAspect="Content" ObjectID="_1765373608" r:id="rId35"/>
        </w:object>
      </w:r>
      <w:r>
        <w:rPr>
          <w:rFonts w:ascii="仿宋_GB2312" w:eastAsia="仿宋_GB2312" w:hint="eastAsia"/>
          <w:sz w:val="30"/>
          <w:szCs w:val="30"/>
        </w:rPr>
        <w:t>计算公式为</w:t>
      </w:r>
      <w:r>
        <w:rPr>
          <w:position w:val="-30"/>
          <w:sz w:val="30"/>
          <w:szCs w:val="30"/>
        </w:rPr>
        <w:object w:dxaOrig="3707" w:dyaOrig="733">
          <v:shape id="_x0000_i1039" type="#_x0000_t75" style="width:185.35pt;height:36.7pt" o:ole="">
            <v:imagedata r:id="rId36" o:title=""/>
          </v:shape>
          <o:OLEObject Type="Embed" ProgID="Equation.DSMT4" ShapeID="_x0000_i1039" DrawAspect="Content" ObjectID="_1765373609" r:id="rId37"/>
        </w:object>
      </w:r>
      <w:r>
        <w:rPr>
          <w:rFonts w:hint="eastAsia"/>
          <w:sz w:val="30"/>
          <w:szCs w:val="30"/>
        </w:rPr>
        <w:t>，</w:t>
      </w:r>
      <w:r>
        <w:rPr>
          <w:position w:val="-12"/>
          <w:sz w:val="30"/>
          <w:szCs w:val="30"/>
        </w:rPr>
        <w:object w:dxaOrig="293" w:dyaOrig="360">
          <v:shape id="_x0000_i1040" type="#_x0000_t75" style="width:14.6pt;height:18.2pt" o:ole="">
            <v:imagedata r:id="rId38" o:title=""/>
          </v:shape>
          <o:OLEObject Type="Embed" ProgID="Equation.DSMT4" ShapeID="_x0000_i1040" DrawAspect="Content" ObjectID="_1765373610" r:id="rId39"/>
        </w:object>
      </w:r>
      <w:r>
        <w:rPr>
          <w:rFonts w:ascii="仿宋_GB2312" w:eastAsia="仿宋_GB2312" w:hint="eastAsia"/>
          <w:sz w:val="30"/>
          <w:szCs w:val="30"/>
        </w:rPr>
        <w:t>计算公式为</w:t>
      </w:r>
      <w:r>
        <w:rPr>
          <w:position w:val="-30"/>
          <w:sz w:val="30"/>
          <w:szCs w:val="30"/>
        </w:rPr>
        <w:object w:dxaOrig="3707" w:dyaOrig="733">
          <v:shape id="_x0000_i1041" type="#_x0000_t75" style="width:185.35pt;height:36.7pt" o:ole="">
            <v:imagedata r:id="rId40" o:title=""/>
          </v:shape>
          <o:OLEObject Type="Embed" ProgID="Equation.DSMT4" ShapeID="_x0000_i1041" DrawAspect="Content" ObjectID="_1765373611" r:id="rId41"/>
        </w:object>
      </w:r>
      <w:r>
        <w:rPr>
          <w:rFonts w:ascii="仿宋_GB2312" w:eastAsia="仿宋_GB2312" w:hint="eastAsia"/>
          <w:sz w:val="30"/>
          <w:szCs w:val="30"/>
        </w:rPr>
        <w:t>。</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（二）曲度敏感度资本要求</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w:t>
      </w:r>
      <w:r>
        <w:rPr>
          <w:rFonts w:ascii="仿宋_GB2312" w:eastAsia="仿宋_GB2312" w:hint="eastAsia"/>
          <w:sz w:val="30"/>
          <w:szCs w:val="30"/>
        </w:rPr>
        <w:t>期权、可分拆嵌入衍生工具、划入交易账簿的含权类金融工具等现金流与基础资产</w:t>
      </w:r>
      <w:r>
        <w:rPr>
          <w:rFonts w:ascii="仿宋_GB2312" w:eastAsia="仿宋_GB2312" w:hint="eastAsia"/>
          <w:sz w:val="30"/>
          <w:szCs w:val="30"/>
        </w:rPr>
        <w:t>价格为非线性关系的工具均应计量曲度风险。</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w:t>
      </w:r>
      <w:r>
        <w:rPr>
          <w:rFonts w:ascii="仿宋_GB2312" w:eastAsia="仿宋_GB2312" w:hint="eastAsia"/>
          <w:sz w:val="30"/>
          <w:szCs w:val="30"/>
        </w:rPr>
        <w:t>对每一个曲度风险因子施加一个向上冲击和向下冲击。如果工具具有多个风险因子，应对每个风险因子分别计算敏感度。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w:t>
      </w:r>
      <w:r>
        <w:rPr>
          <w:rFonts w:ascii="仿宋_GB2312" w:eastAsia="仿宋_GB2312" w:hint="eastAsia"/>
          <w:sz w:val="30"/>
          <w:szCs w:val="30"/>
        </w:rPr>
        <w:t>风险因子向上冲击和向下冲击的净曲度敏感度计量公式如下：</w:t>
      </w:r>
      <w:r>
        <w:rPr>
          <w:rFonts w:ascii="仿宋_GB2312" w:eastAsia="仿宋_GB2312" w:hint="eastAsia"/>
          <w:sz w:val="30"/>
          <w:szCs w:val="30"/>
        </w:rPr>
        <w:t xml:space="preserve"> </w:t>
      </w:r>
    </w:p>
    <w:p w:rsidR="004165E8" w:rsidRDefault="00A108D9">
      <w:pPr>
        <w:widowControl/>
        <w:jc w:val="center"/>
        <w:rPr>
          <w:rFonts w:ascii="仿宋_GB2312" w:eastAsia="仿宋_GB2312"/>
          <w:sz w:val="30"/>
          <w:szCs w:val="30"/>
        </w:rPr>
      </w:pPr>
      <m:oMathPara>
        <m:oMath>
          <m:r>
            <w:rPr>
              <w:rFonts w:ascii="Cambria Math" w:eastAsia="仿宋_GB2312" w:hAnsi="Cambria Math"/>
              <w:sz w:val="30"/>
              <w:szCs w:val="30"/>
            </w:rPr>
            <w:lastRenderedPageBreak/>
            <m:t>CV</m:t>
          </m:r>
          <m:sSubSup>
            <m:sSubSupPr>
              <m:ctrlPr>
                <w:rPr>
                  <w:rFonts w:ascii="Cambria Math" w:eastAsia="仿宋_GB2312" w:hAnsi="Cambria Math" w:hint="eastAsia"/>
                  <w:i/>
                  <w:sz w:val="30"/>
                  <w:szCs w:val="30"/>
                </w:rPr>
              </m:ctrlPr>
            </m:sSubSupPr>
            <m:e>
              <m:r>
                <w:rPr>
                  <w:rFonts w:ascii="Cambria Math" w:eastAsia="仿宋_GB2312" w:hAnsi="Cambria Math"/>
                  <w:sz w:val="30"/>
                  <w:szCs w:val="30"/>
                </w:rPr>
                <m:t>R</m:t>
              </m:r>
            </m:e>
            <m:sub>
              <m:r>
                <w:rPr>
                  <w:rFonts w:ascii="Cambria Math" w:eastAsia="仿宋_GB2312" w:hAnsi="Cambria Math"/>
                  <w:sz w:val="30"/>
                  <w:szCs w:val="30"/>
                </w:rPr>
                <m:t>k</m:t>
              </m:r>
            </m:sub>
            <m:sup>
              <m:r>
                <w:rPr>
                  <w:rFonts w:ascii="Cambria Math" w:eastAsia="仿宋_GB2312" w:hAnsi="Cambria Math"/>
                  <w:sz w:val="30"/>
                  <w:szCs w:val="30"/>
                </w:rPr>
                <m:t>+</m:t>
              </m:r>
            </m:sup>
          </m:sSubSup>
          <m:r>
            <w:rPr>
              <w:rFonts w:ascii="Cambria Math" w:eastAsia="仿宋_GB2312" w:hAnsi="Cambria Math"/>
              <w:sz w:val="30"/>
              <w:szCs w:val="30"/>
            </w:rPr>
            <m:t>=</m:t>
          </m:r>
          <m:r>
            <w:rPr>
              <w:rFonts w:ascii="微软雅黑" w:eastAsia="微软雅黑" w:hAnsi="微软雅黑" w:cs="微软雅黑"/>
              <w:sz w:val="30"/>
              <w:szCs w:val="30"/>
            </w:rPr>
            <m:t>-</m:t>
          </m:r>
          <m:limLow>
            <m:limLowPr>
              <m:ctrlPr>
                <w:rPr>
                  <w:rFonts w:ascii="Cambria Math" w:eastAsia="仿宋_GB2312" w:hAnsi="Cambria Math" w:hint="eastAsia"/>
                  <w:i/>
                  <w:sz w:val="30"/>
                  <w:szCs w:val="30"/>
                </w:rPr>
              </m:ctrlPr>
            </m:limLowPr>
            <m:e>
              <m:r>
                <w:rPr>
                  <w:rFonts w:ascii="Cambria Math" w:eastAsia="仿宋_GB2312" w:hAnsi="Cambria Math" w:hint="eastAsia"/>
                  <w:sz w:val="30"/>
                  <w:szCs w:val="30"/>
                </w:rPr>
                <m:t>∑</m:t>
              </m:r>
            </m:e>
            <m:lim>
              <m:r>
                <w:rPr>
                  <w:rFonts w:ascii="Cambria Math" w:eastAsia="仿宋_GB2312" w:hAnsi="Cambria Math"/>
                  <w:sz w:val="30"/>
                  <w:szCs w:val="30"/>
                </w:rPr>
                <m:t>i</m:t>
              </m:r>
            </m:lim>
          </m:limLow>
          <m:d>
            <m:dPr>
              <m:begChr m:val="{"/>
              <m:endChr m:val="}"/>
              <m:ctrlPr>
                <w:rPr>
                  <w:rFonts w:ascii="Cambria Math" w:eastAsia="仿宋_GB2312" w:hAnsi="Cambria Math" w:hint="eastAsia"/>
                  <w:i/>
                  <w:sz w:val="30"/>
                  <w:szCs w:val="30"/>
                </w:rPr>
              </m:ctrlPr>
            </m:dPr>
            <m:e>
              <m:sSub>
                <m:sSubPr>
                  <m:ctrlPr>
                    <w:rPr>
                      <w:rFonts w:ascii="Cambria Math" w:eastAsia="仿宋_GB2312" w:hAnsi="Cambria Math" w:hint="eastAsia"/>
                      <w:i/>
                      <w:sz w:val="30"/>
                      <w:szCs w:val="30"/>
                    </w:rPr>
                  </m:ctrlPr>
                </m:sSubPr>
                <m:e>
                  <m:r>
                    <w:rPr>
                      <w:rFonts w:ascii="Cambria Math" w:eastAsia="仿宋_GB2312" w:hAnsi="Cambria Math"/>
                      <w:sz w:val="30"/>
                      <w:szCs w:val="30"/>
                    </w:rPr>
                    <m:t>V</m:t>
                  </m:r>
                </m:e>
                <m:sub>
                  <m:r>
                    <w:rPr>
                      <w:rFonts w:ascii="Cambria Math" w:eastAsia="仿宋_GB2312" w:hAnsi="Cambria Math"/>
                      <w:sz w:val="30"/>
                      <w:szCs w:val="30"/>
                    </w:rPr>
                    <m:t>i</m:t>
                  </m:r>
                </m:sub>
              </m:sSub>
              <m:d>
                <m:dPr>
                  <m:ctrlPr>
                    <w:rPr>
                      <w:rFonts w:ascii="Cambria Math" w:eastAsia="仿宋_GB2312" w:hAnsi="Cambria Math" w:hint="eastAsia"/>
                      <w:i/>
                      <w:sz w:val="30"/>
                      <w:szCs w:val="30"/>
                    </w:rPr>
                  </m:ctrlPr>
                </m:dPr>
                <m:e>
                  <m:sSubSup>
                    <m:sSubSupPr>
                      <m:ctrlPr>
                        <w:rPr>
                          <w:rFonts w:ascii="Cambria Math" w:eastAsia="仿宋_GB2312" w:hAnsi="Cambria Math" w:hint="eastAsia"/>
                          <w:i/>
                          <w:sz w:val="30"/>
                          <w:szCs w:val="30"/>
                        </w:rPr>
                      </m:ctrlPr>
                    </m:sSubSupPr>
                    <m:e>
                      <m:r>
                        <w:rPr>
                          <w:rFonts w:ascii="Cambria Math" w:eastAsia="仿宋_GB2312" w:hAnsi="Cambria Math"/>
                          <w:sz w:val="30"/>
                          <w:szCs w:val="30"/>
                        </w:rPr>
                        <m:t>x</m:t>
                      </m:r>
                    </m:e>
                    <m:sub>
                      <m:r>
                        <w:rPr>
                          <w:rFonts w:ascii="Cambria Math" w:eastAsia="仿宋_GB2312" w:hAnsi="Cambria Math"/>
                          <w:sz w:val="30"/>
                          <w:szCs w:val="30"/>
                        </w:rPr>
                        <m:t>k</m:t>
                      </m:r>
                    </m:sub>
                    <m:sup>
                      <m:r>
                        <w:rPr>
                          <w:rFonts w:ascii="Cambria Math" w:eastAsia="仿宋_GB2312" w:hAnsi="Cambria Math"/>
                          <w:sz w:val="30"/>
                          <w:szCs w:val="30"/>
                        </w:rPr>
                        <m:t>RW</m:t>
                      </m:r>
                      <m:r>
                        <w:rPr>
                          <w:rFonts w:ascii="Cambria Math" w:eastAsia="仿宋_GB2312" w:hAnsi="Cambria Math"/>
                          <w:sz w:val="30"/>
                          <w:szCs w:val="30"/>
                        </w:rPr>
                        <m:t>(</m:t>
                      </m:r>
                      <m:r>
                        <m:rPr>
                          <m:nor/>
                        </m:rPr>
                        <w:rPr>
                          <w:rFonts w:ascii="仿宋_GB2312" w:eastAsia="仿宋_GB2312"/>
                          <w:sz w:val="30"/>
                          <w:szCs w:val="30"/>
                        </w:rPr>
                        <m:t>Curvature</m:t>
                      </m:r>
                      <m:r>
                        <m:rPr>
                          <m:sty m:val="p"/>
                        </m:rPr>
                        <w:rPr>
                          <w:rFonts w:ascii="Cambria Math" w:eastAsia="仿宋_GB2312" w:hAnsi="Cambria Math"/>
                          <w:sz w:val="30"/>
                          <w:szCs w:val="30"/>
                        </w:rPr>
                        <m:t>)+</m:t>
                      </m:r>
                      <m:ctrlPr>
                        <w:rPr>
                          <w:rFonts w:ascii="Cambria Math" w:eastAsia="仿宋_GB2312" w:hAnsi="Cambria Math" w:hint="eastAsia"/>
                          <w:sz w:val="30"/>
                          <w:szCs w:val="30"/>
                        </w:rPr>
                      </m:ctrlPr>
                    </m:sup>
                  </m:sSubSup>
                </m:e>
              </m:d>
              <m:r>
                <w:rPr>
                  <w:rFonts w:ascii="微软雅黑" w:eastAsia="微软雅黑" w:hAnsi="微软雅黑" w:cs="微软雅黑"/>
                  <w:sz w:val="30"/>
                  <w:szCs w:val="30"/>
                </w:rPr>
                <m:t>-</m:t>
              </m:r>
              <m:sSub>
                <m:sSubPr>
                  <m:ctrlPr>
                    <w:rPr>
                      <w:rFonts w:ascii="Cambria Math" w:eastAsia="仿宋_GB2312" w:hAnsi="Cambria Math" w:hint="eastAsia"/>
                      <w:i/>
                      <w:sz w:val="30"/>
                      <w:szCs w:val="30"/>
                    </w:rPr>
                  </m:ctrlPr>
                </m:sSubPr>
                <m:e>
                  <m:r>
                    <w:rPr>
                      <w:rFonts w:ascii="Cambria Math" w:eastAsia="仿宋_GB2312" w:hAnsi="Cambria Math"/>
                      <w:sz w:val="30"/>
                      <w:szCs w:val="30"/>
                    </w:rPr>
                    <m:t>V</m:t>
                  </m:r>
                </m:e>
                <m:sub>
                  <m:r>
                    <w:rPr>
                      <w:rFonts w:ascii="Cambria Math" w:eastAsia="仿宋_GB2312" w:hAnsi="Cambria Math"/>
                      <w:sz w:val="30"/>
                      <w:szCs w:val="30"/>
                    </w:rPr>
                    <m:t>i</m:t>
                  </m:r>
                </m:sub>
              </m:sSub>
              <m:d>
                <m:dPr>
                  <m:ctrlPr>
                    <w:rPr>
                      <w:rFonts w:ascii="Cambria Math" w:eastAsia="仿宋_GB2312" w:hAnsi="Cambria Math" w:hint="eastAsia"/>
                      <w:i/>
                      <w:sz w:val="30"/>
                      <w:szCs w:val="30"/>
                    </w:rPr>
                  </m:ctrlPr>
                </m:dPr>
                <m:e>
                  <m:sSub>
                    <m:sSubPr>
                      <m:ctrlPr>
                        <w:rPr>
                          <w:rFonts w:ascii="Cambria Math" w:eastAsia="仿宋_GB2312" w:hAnsi="Cambria Math" w:hint="eastAsia"/>
                          <w:i/>
                          <w:sz w:val="30"/>
                          <w:szCs w:val="30"/>
                        </w:rPr>
                      </m:ctrlPr>
                    </m:sSubPr>
                    <m:e>
                      <m:r>
                        <w:rPr>
                          <w:rFonts w:ascii="Cambria Math" w:eastAsia="仿宋_GB2312" w:hAnsi="Cambria Math"/>
                          <w:sz w:val="30"/>
                          <w:szCs w:val="30"/>
                        </w:rPr>
                        <m:t>x</m:t>
                      </m:r>
                    </m:e>
                    <m:sub>
                      <m:r>
                        <w:rPr>
                          <w:rFonts w:ascii="Cambria Math" w:eastAsia="仿宋_GB2312" w:hAnsi="Cambria Math"/>
                          <w:sz w:val="30"/>
                          <w:szCs w:val="30"/>
                        </w:rPr>
                        <m:t>k</m:t>
                      </m:r>
                    </m:sub>
                  </m:sSub>
                </m:e>
              </m:d>
              <m:r>
                <w:rPr>
                  <w:rFonts w:ascii="微软雅黑" w:eastAsia="微软雅黑" w:hAnsi="微软雅黑" w:cs="微软雅黑"/>
                  <w:sz w:val="30"/>
                  <w:szCs w:val="30"/>
                </w:rPr>
                <m:t>-</m:t>
              </m:r>
              <m:r>
                <w:rPr>
                  <w:rFonts w:ascii="Cambria Math" w:eastAsia="仿宋_GB2312" w:hAnsi="Cambria Math"/>
                  <w:sz w:val="30"/>
                  <w:szCs w:val="30"/>
                </w:rPr>
                <m:t>R</m:t>
              </m:r>
              <m:sSubSup>
                <m:sSubSupPr>
                  <m:ctrlPr>
                    <w:rPr>
                      <w:rFonts w:ascii="Cambria Math" w:eastAsia="仿宋_GB2312" w:hAnsi="Cambria Math" w:hint="eastAsia"/>
                      <w:i/>
                      <w:sz w:val="30"/>
                      <w:szCs w:val="30"/>
                    </w:rPr>
                  </m:ctrlPr>
                </m:sSubSupPr>
                <m:e>
                  <m:r>
                    <w:rPr>
                      <w:rFonts w:ascii="Cambria Math" w:eastAsia="仿宋_GB2312" w:hAnsi="Cambria Math"/>
                      <w:sz w:val="30"/>
                      <w:szCs w:val="30"/>
                    </w:rPr>
                    <m:t>W</m:t>
                  </m:r>
                </m:e>
                <m:sub>
                  <m:r>
                    <w:rPr>
                      <w:rFonts w:ascii="Cambria Math" w:eastAsia="仿宋_GB2312" w:hAnsi="Cambria Math"/>
                      <w:sz w:val="30"/>
                      <w:szCs w:val="30"/>
                    </w:rPr>
                    <m:t>k</m:t>
                  </m:r>
                </m:sub>
                <m:sup>
                  <m:r>
                    <m:rPr>
                      <m:nor/>
                    </m:rPr>
                    <w:rPr>
                      <w:rFonts w:ascii="仿宋_GB2312" w:eastAsia="仿宋_GB2312"/>
                      <w:sz w:val="30"/>
                      <w:szCs w:val="30"/>
                    </w:rPr>
                    <m:t>Curvature</m:t>
                  </m:r>
                  <m:ctrlPr>
                    <w:rPr>
                      <w:rFonts w:ascii="Cambria Math" w:eastAsia="仿宋_GB2312" w:hAnsi="Cambria Math" w:hint="eastAsia"/>
                      <w:sz w:val="30"/>
                      <w:szCs w:val="30"/>
                    </w:rPr>
                  </m:ctrlPr>
                </m:sup>
              </m:sSubSup>
              <m:r>
                <w:rPr>
                  <w:rFonts w:ascii="Cambria Math" w:eastAsia="仿宋_GB2312" w:hAnsi="Cambria Math"/>
                  <w:sz w:val="30"/>
                  <w:szCs w:val="30"/>
                </w:rPr>
                <m:t>×</m:t>
              </m:r>
              <m:sSub>
                <m:sSubPr>
                  <m:ctrlPr>
                    <w:rPr>
                      <w:rFonts w:ascii="Cambria Math" w:eastAsia="仿宋_GB2312" w:hAnsi="Cambria Math" w:hint="eastAsia"/>
                      <w:i/>
                      <w:sz w:val="30"/>
                      <w:szCs w:val="30"/>
                    </w:rPr>
                  </m:ctrlPr>
                </m:sSubPr>
                <m:e>
                  <m:r>
                    <w:rPr>
                      <w:rFonts w:ascii="Cambria Math" w:eastAsia="仿宋_GB2312" w:hAnsi="Cambria Math"/>
                      <w:sz w:val="30"/>
                      <w:szCs w:val="30"/>
                    </w:rPr>
                    <m:t>s</m:t>
                  </m:r>
                </m:e>
                <m:sub>
                  <m:r>
                    <w:rPr>
                      <w:rFonts w:ascii="Cambria Math" w:eastAsia="仿宋_GB2312" w:hAnsi="Cambria Math"/>
                      <w:sz w:val="30"/>
                      <w:szCs w:val="30"/>
                    </w:rPr>
                    <m:t>ik</m:t>
                  </m:r>
                </m:sub>
              </m:sSub>
            </m:e>
          </m:d>
        </m:oMath>
      </m:oMathPara>
    </w:p>
    <w:p w:rsidR="004165E8" w:rsidRDefault="00A108D9">
      <w:pPr>
        <w:widowControl/>
        <w:jc w:val="center"/>
        <w:rPr>
          <w:rFonts w:ascii="仿宋_GB2312" w:eastAsia="仿宋_GB2312"/>
          <w:sz w:val="30"/>
          <w:szCs w:val="30"/>
        </w:rPr>
      </w:pPr>
      <m:oMathPara>
        <m:oMath>
          <m:r>
            <w:rPr>
              <w:rFonts w:ascii="Cambria Math" w:eastAsia="仿宋_GB2312" w:hAnsi="Cambria Math"/>
              <w:sz w:val="30"/>
              <w:szCs w:val="30"/>
            </w:rPr>
            <m:t>CV</m:t>
          </m:r>
          <m:sSubSup>
            <m:sSubSupPr>
              <m:ctrlPr>
                <w:rPr>
                  <w:rFonts w:ascii="Cambria Math" w:eastAsia="仿宋_GB2312" w:hAnsi="Cambria Math" w:hint="eastAsia"/>
                  <w:i/>
                  <w:sz w:val="30"/>
                  <w:szCs w:val="30"/>
                </w:rPr>
              </m:ctrlPr>
            </m:sSubSupPr>
            <m:e>
              <m:r>
                <w:rPr>
                  <w:rFonts w:ascii="Cambria Math" w:eastAsia="仿宋_GB2312" w:hAnsi="Cambria Math"/>
                  <w:sz w:val="30"/>
                  <w:szCs w:val="30"/>
                </w:rPr>
                <m:t>R</m:t>
              </m:r>
            </m:e>
            <m:sub>
              <m:r>
                <w:rPr>
                  <w:rFonts w:ascii="Cambria Math" w:eastAsia="仿宋_GB2312" w:hAnsi="Cambria Math"/>
                  <w:sz w:val="30"/>
                  <w:szCs w:val="30"/>
                </w:rPr>
                <m:t>k</m:t>
              </m:r>
            </m:sub>
            <m:sup>
              <m:r>
                <w:rPr>
                  <w:rFonts w:ascii="微软雅黑" w:eastAsia="微软雅黑" w:hAnsi="微软雅黑" w:cs="微软雅黑"/>
                  <w:sz w:val="30"/>
                  <w:szCs w:val="30"/>
                </w:rPr>
                <m:t>-</m:t>
              </m:r>
            </m:sup>
          </m:sSubSup>
          <m:r>
            <w:rPr>
              <w:rFonts w:ascii="Cambria Math" w:eastAsia="仿宋_GB2312" w:hAnsi="Cambria Math"/>
              <w:sz w:val="30"/>
              <w:szCs w:val="30"/>
            </w:rPr>
            <m:t>=</m:t>
          </m:r>
          <m:r>
            <w:rPr>
              <w:rFonts w:ascii="微软雅黑" w:eastAsia="微软雅黑" w:hAnsi="微软雅黑" w:cs="微软雅黑"/>
              <w:sz w:val="30"/>
              <w:szCs w:val="30"/>
            </w:rPr>
            <m:t>-</m:t>
          </m:r>
          <m:limLow>
            <m:limLowPr>
              <m:ctrlPr>
                <w:rPr>
                  <w:rFonts w:ascii="Cambria Math" w:eastAsia="仿宋_GB2312" w:hAnsi="Cambria Math" w:hint="eastAsia"/>
                  <w:i/>
                  <w:sz w:val="30"/>
                  <w:szCs w:val="30"/>
                </w:rPr>
              </m:ctrlPr>
            </m:limLowPr>
            <m:e>
              <m:r>
                <w:rPr>
                  <w:rFonts w:ascii="Cambria Math" w:eastAsia="仿宋_GB2312" w:hAnsi="Cambria Math" w:hint="eastAsia"/>
                  <w:sz w:val="30"/>
                  <w:szCs w:val="30"/>
                </w:rPr>
                <m:t>∑</m:t>
              </m:r>
            </m:e>
            <m:lim>
              <m:r>
                <w:rPr>
                  <w:rFonts w:ascii="Cambria Math" w:eastAsia="仿宋_GB2312" w:hAnsi="Cambria Math"/>
                  <w:sz w:val="30"/>
                  <w:szCs w:val="30"/>
                </w:rPr>
                <m:t>i</m:t>
              </m:r>
            </m:lim>
          </m:limLow>
          <m:d>
            <m:dPr>
              <m:begChr m:val="{"/>
              <m:endChr m:val="}"/>
              <m:ctrlPr>
                <w:rPr>
                  <w:rFonts w:ascii="Cambria Math" w:eastAsia="仿宋_GB2312" w:hAnsi="Cambria Math" w:hint="eastAsia"/>
                  <w:i/>
                  <w:sz w:val="30"/>
                  <w:szCs w:val="30"/>
                </w:rPr>
              </m:ctrlPr>
            </m:dPr>
            <m:e>
              <m:sSub>
                <m:sSubPr>
                  <m:ctrlPr>
                    <w:rPr>
                      <w:rFonts w:ascii="Cambria Math" w:eastAsia="仿宋_GB2312" w:hAnsi="Cambria Math" w:hint="eastAsia"/>
                      <w:i/>
                      <w:sz w:val="30"/>
                      <w:szCs w:val="30"/>
                    </w:rPr>
                  </m:ctrlPr>
                </m:sSubPr>
                <m:e>
                  <m:r>
                    <w:rPr>
                      <w:rFonts w:ascii="Cambria Math" w:eastAsia="仿宋_GB2312" w:hAnsi="Cambria Math"/>
                      <w:sz w:val="30"/>
                      <w:szCs w:val="30"/>
                    </w:rPr>
                    <m:t>V</m:t>
                  </m:r>
                </m:e>
                <m:sub>
                  <m:r>
                    <w:rPr>
                      <w:rFonts w:ascii="Cambria Math" w:eastAsia="仿宋_GB2312" w:hAnsi="Cambria Math"/>
                      <w:sz w:val="30"/>
                      <w:szCs w:val="30"/>
                    </w:rPr>
                    <m:t>i</m:t>
                  </m:r>
                </m:sub>
              </m:sSub>
              <m:d>
                <m:dPr>
                  <m:ctrlPr>
                    <w:rPr>
                      <w:rFonts w:ascii="Cambria Math" w:eastAsia="仿宋_GB2312" w:hAnsi="Cambria Math" w:hint="eastAsia"/>
                      <w:i/>
                      <w:sz w:val="30"/>
                      <w:szCs w:val="30"/>
                    </w:rPr>
                  </m:ctrlPr>
                </m:dPr>
                <m:e>
                  <m:sSubSup>
                    <m:sSubSupPr>
                      <m:ctrlPr>
                        <w:rPr>
                          <w:rFonts w:ascii="Cambria Math" w:eastAsia="仿宋_GB2312" w:hAnsi="Cambria Math" w:hint="eastAsia"/>
                          <w:i/>
                          <w:sz w:val="30"/>
                          <w:szCs w:val="30"/>
                        </w:rPr>
                      </m:ctrlPr>
                    </m:sSubSupPr>
                    <m:e>
                      <m:r>
                        <w:rPr>
                          <w:rFonts w:ascii="Cambria Math" w:eastAsia="仿宋_GB2312" w:hAnsi="Cambria Math"/>
                          <w:sz w:val="30"/>
                          <w:szCs w:val="30"/>
                        </w:rPr>
                        <m:t>x</m:t>
                      </m:r>
                    </m:e>
                    <m:sub>
                      <m:r>
                        <w:rPr>
                          <w:rFonts w:ascii="Cambria Math" w:eastAsia="仿宋_GB2312" w:hAnsi="Cambria Math"/>
                          <w:sz w:val="30"/>
                          <w:szCs w:val="30"/>
                        </w:rPr>
                        <m:t>k</m:t>
                      </m:r>
                    </m:sub>
                    <m:sup>
                      <m:r>
                        <w:rPr>
                          <w:rFonts w:ascii="Cambria Math" w:eastAsia="仿宋_GB2312" w:hAnsi="Cambria Math"/>
                          <w:sz w:val="30"/>
                          <w:szCs w:val="30"/>
                        </w:rPr>
                        <m:t>RW</m:t>
                      </m:r>
                      <m:r>
                        <w:rPr>
                          <w:rFonts w:ascii="Cambria Math" w:eastAsia="仿宋_GB2312" w:hAnsi="Cambria Math"/>
                          <w:sz w:val="30"/>
                          <w:szCs w:val="30"/>
                        </w:rPr>
                        <m:t>(</m:t>
                      </m:r>
                      <m:r>
                        <m:rPr>
                          <m:nor/>
                        </m:rPr>
                        <w:rPr>
                          <w:rFonts w:ascii="仿宋_GB2312" w:eastAsia="仿宋_GB2312"/>
                          <w:sz w:val="30"/>
                          <w:szCs w:val="30"/>
                        </w:rPr>
                        <m:t>Curvature</m:t>
                      </m:r>
                      <m:r>
                        <m:rPr>
                          <m:sty m:val="p"/>
                        </m:rPr>
                        <w:rPr>
                          <w:rFonts w:ascii="Cambria Math" w:eastAsia="仿宋_GB2312" w:hAnsi="Cambria Math"/>
                          <w:sz w:val="30"/>
                          <w:szCs w:val="30"/>
                        </w:rPr>
                        <m:t>)</m:t>
                      </m:r>
                      <m:r>
                        <m:rPr>
                          <m:sty m:val="p"/>
                        </m:rPr>
                        <w:rPr>
                          <w:rFonts w:ascii="微软雅黑" w:eastAsia="微软雅黑" w:hAnsi="微软雅黑" w:cs="微软雅黑"/>
                          <w:sz w:val="30"/>
                          <w:szCs w:val="30"/>
                        </w:rPr>
                        <m:t>-</m:t>
                      </m:r>
                      <m:ctrlPr>
                        <w:rPr>
                          <w:rFonts w:ascii="Cambria Math" w:eastAsia="仿宋_GB2312" w:hAnsi="Cambria Math" w:hint="eastAsia"/>
                          <w:sz w:val="30"/>
                          <w:szCs w:val="30"/>
                        </w:rPr>
                      </m:ctrlPr>
                    </m:sup>
                  </m:sSubSup>
                </m:e>
              </m:d>
              <m:r>
                <w:rPr>
                  <w:rFonts w:ascii="微软雅黑" w:eastAsia="微软雅黑" w:hAnsi="微软雅黑" w:cs="微软雅黑"/>
                  <w:sz w:val="30"/>
                  <w:szCs w:val="30"/>
                </w:rPr>
                <m:t>-</m:t>
              </m:r>
              <m:sSub>
                <m:sSubPr>
                  <m:ctrlPr>
                    <w:rPr>
                      <w:rFonts w:ascii="Cambria Math" w:eastAsia="仿宋_GB2312" w:hAnsi="Cambria Math" w:hint="eastAsia"/>
                      <w:i/>
                      <w:sz w:val="30"/>
                      <w:szCs w:val="30"/>
                    </w:rPr>
                  </m:ctrlPr>
                </m:sSubPr>
                <m:e>
                  <m:r>
                    <w:rPr>
                      <w:rFonts w:ascii="Cambria Math" w:eastAsia="仿宋_GB2312" w:hAnsi="Cambria Math"/>
                      <w:sz w:val="30"/>
                      <w:szCs w:val="30"/>
                    </w:rPr>
                    <m:t>V</m:t>
                  </m:r>
                </m:e>
                <m:sub>
                  <m:r>
                    <w:rPr>
                      <w:rFonts w:ascii="Cambria Math" w:eastAsia="仿宋_GB2312" w:hAnsi="Cambria Math"/>
                      <w:sz w:val="30"/>
                      <w:szCs w:val="30"/>
                    </w:rPr>
                    <m:t>i</m:t>
                  </m:r>
                </m:sub>
              </m:sSub>
              <m:d>
                <m:dPr>
                  <m:ctrlPr>
                    <w:rPr>
                      <w:rFonts w:ascii="Cambria Math" w:eastAsia="仿宋_GB2312" w:hAnsi="Cambria Math" w:hint="eastAsia"/>
                      <w:i/>
                      <w:sz w:val="30"/>
                      <w:szCs w:val="30"/>
                    </w:rPr>
                  </m:ctrlPr>
                </m:dPr>
                <m:e>
                  <m:sSub>
                    <m:sSubPr>
                      <m:ctrlPr>
                        <w:rPr>
                          <w:rFonts w:ascii="Cambria Math" w:eastAsia="仿宋_GB2312" w:hAnsi="Cambria Math" w:hint="eastAsia"/>
                          <w:i/>
                          <w:sz w:val="30"/>
                          <w:szCs w:val="30"/>
                        </w:rPr>
                      </m:ctrlPr>
                    </m:sSubPr>
                    <m:e>
                      <m:r>
                        <w:rPr>
                          <w:rFonts w:ascii="Cambria Math" w:eastAsia="仿宋_GB2312" w:hAnsi="Cambria Math"/>
                          <w:sz w:val="30"/>
                          <w:szCs w:val="30"/>
                        </w:rPr>
                        <m:t>x</m:t>
                      </m:r>
                    </m:e>
                    <m:sub>
                      <m:r>
                        <w:rPr>
                          <w:rFonts w:ascii="Cambria Math" w:eastAsia="仿宋_GB2312" w:hAnsi="Cambria Math"/>
                          <w:sz w:val="30"/>
                          <w:szCs w:val="30"/>
                        </w:rPr>
                        <m:t>k</m:t>
                      </m:r>
                    </m:sub>
                  </m:sSub>
                </m:e>
              </m:d>
              <m:r>
                <w:rPr>
                  <w:rFonts w:ascii="Cambria Math" w:eastAsia="仿宋_GB2312" w:hAnsi="Cambria Math"/>
                  <w:sz w:val="30"/>
                  <w:szCs w:val="30"/>
                </w:rPr>
                <m:t>+</m:t>
              </m:r>
              <m:r>
                <w:rPr>
                  <w:rFonts w:ascii="Cambria Math" w:eastAsia="仿宋_GB2312" w:hAnsi="Cambria Math"/>
                  <w:sz w:val="30"/>
                  <w:szCs w:val="30"/>
                </w:rPr>
                <m:t>R</m:t>
              </m:r>
              <m:sSubSup>
                <m:sSubSupPr>
                  <m:ctrlPr>
                    <w:rPr>
                      <w:rFonts w:ascii="Cambria Math" w:eastAsia="仿宋_GB2312" w:hAnsi="Cambria Math" w:hint="eastAsia"/>
                      <w:i/>
                      <w:sz w:val="30"/>
                      <w:szCs w:val="30"/>
                    </w:rPr>
                  </m:ctrlPr>
                </m:sSubSupPr>
                <m:e>
                  <m:r>
                    <w:rPr>
                      <w:rFonts w:ascii="Cambria Math" w:eastAsia="仿宋_GB2312" w:hAnsi="Cambria Math"/>
                      <w:sz w:val="30"/>
                      <w:szCs w:val="30"/>
                    </w:rPr>
                    <m:t>W</m:t>
                  </m:r>
                </m:e>
                <m:sub>
                  <m:r>
                    <w:rPr>
                      <w:rFonts w:ascii="Cambria Math" w:eastAsia="仿宋_GB2312" w:hAnsi="Cambria Math"/>
                      <w:sz w:val="30"/>
                      <w:szCs w:val="30"/>
                    </w:rPr>
                    <m:t>k</m:t>
                  </m:r>
                </m:sub>
                <m:sup>
                  <m:r>
                    <m:rPr>
                      <m:nor/>
                    </m:rPr>
                    <w:rPr>
                      <w:rFonts w:ascii="仿宋_GB2312" w:eastAsia="仿宋_GB2312"/>
                      <w:sz w:val="30"/>
                      <w:szCs w:val="30"/>
                    </w:rPr>
                    <m:t>Curvature</m:t>
                  </m:r>
                  <m:ctrlPr>
                    <w:rPr>
                      <w:rFonts w:ascii="Cambria Math" w:eastAsia="仿宋_GB2312" w:hAnsi="Cambria Math" w:hint="eastAsia"/>
                      <w:sz w:val="30"/>
                      <w:szCs w:val="30"/>
                    </w:rPr>
                  </m:ctrlPr>
                </m:sup>
              </m:sSubSup>
              <m:r>
                <w:rPr>
                  <w:rFonts w:ascii="Cambria Math" w:eastAsia="仿宋_GB2312" w:hAnsi="Cambria Math"/>
                  <w:sz w:val="30"/>
                  <w:szCs w:val="30"/>
                </w:rPr>
                <m:t>×</m:t>
              </m:r>
              <m:sSub>
                <m:sSubPr>
                  <m:ctrlPr>
                    <w:rPr>
                      <w:rFonts w:ascii="Cambria Math" w:eastAsia="仿宋_GB2312" w:hAnsi="Cambria Math" w:hint="eastAsia"/>
                      <w:i/>
                      <w:sz w:val="30"/>
                      <w:szCs w:val="30"/>
                    </w:rPr>
                  </m:ctrlPr>
                </m:sSubPr>
                <m:e>
                  <m:r>
                    <w:rPr>
                      <w:rFonts w:ascii="Cambria Math" w:eastAsia="仿宋_GB2312" w:hAnsi="Cambria Math"/>
                      <w:sz w:val="30"/>
                      <w:szCs w:val="30"/>
                    </w:rPr>
                    <m:t>s</m:t>
                  </m:r>
                </m:e>
                <m:sub>
                  <m:r>
                    <w:rPr>
                      <w:rFonts w:ascii="Cambria Math" w:eastAsia="仿宋_GB2312" w:hAnsi="Cambria Math"/>
                      <w:sz w:val="30"/>
                      <w:szCs w:val="30"/>
                    </w:rPr>
                    <m:t>ik</m:t>
                  </m:r>
                </m:sub>
              </m:sSub>
            </m:e>
          </m:d>
        </m:oMath>
      </m:oMathPara>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其中：</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sz w:val="30"/>
          <w:szCs w:val="30"/>
        </w:rPr>
        <w:t>i</w:t>
      </w:r>
      <w:r>
        <w:rPr>
          <w:rFonts w:ascii="仿宋_GB2312" w:eastAsia="仿宋_GB2312" w:hint="eastAsia"/>
          <w:sz w:val="30"/>
          <w:szCs w:val="30"/>
        </w:rPr>
        <w:t>是受曲度风险因子</w:t>
      </w:r>
      <w:r>
        <w:rPr>
          <w:rFonts w:ascii="仿宋_GB2312" w:eastAsia="仿宋_GB2312" w:hint="eastAsia"/>
          <w:sz w:val="30"/>
          <w:szCs w:val="30"/>
        </w:rPr>
        <w:t>k</w:t>
      </w:r>
      <w:r>
        <w:rPr>
          <w:rFonts w:ascii="仿宋_GB2312" w:eastAsia="仿宋_GB2312" w:hint="eastAsia"/>
          <w:sz w:val="30"/>
          <w:szCs w:val="30"/>
        </w:rPr>
        <w:t>影响的工具。</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r>
        <w:rPr>
          <w:position w:val="-12"/>
          <w:sz w:val="30"/>
          <w:szCs w:val="30"/>
        </w:rPr>
        <w:object w:dxaOrig="333" w:dyaOrig="453">
          <v:shape id="_x0000_i1042" type="#_x0000_t75" style="width:16.75pt;height:22.8pt" o:ole="">
            <v:imagedata r:id="rId42" o:title=""/>
          </v:shape>
          <o:OLEObject Type="Embed" ProgID="Equation.DSMT4" ShapeID="_x0000_i1042" DrawAspect="Content" ObjectID="_1765373612" r:id="rId43"/>
        </w:object>
      </w:r>
      <w:r>
        <w:rPr>
          <w:rFonts w:ascii="仿宋_GB2312" w:eastAsia="仿宋_GB2312" w:hint="eastAsia"/>
          <w:sz w:val="30"/>
          <w:szCs w:val="30"/>
        </w:rPr>
        <w:t>是风险因子</w:t>
      </w:r>
      <w:r>
        <w:rPr>
          <w:rFonts w:ascii="仿宋_GB2312" w:eastAsia="仿宋_GB2312" w:hint="eastAsia"/>
          <w:sz w:val="30"/>
          <w:szCs w:val="30"/>
        </w:rPr>
        <w:t>k</w:t>
      </w:r>
      <w:r>
        <w:rPr>
          <w:rFonts w:ascii="仿宋_GB2312" w:eastAsia="仿宋_GB2312" w:hint="eastAsia"/>
          <w:sz w:val="30"/>
          <w:szCs w:val="30"/>
        </w:rPr>
        <w:t>的当前值。</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w:t>
      </w:r>
      <w:r>
        <w:rPr>
          <w:position w:val="-12"/>
          <w:sz w:val="30"/>
          <w:szCs w:val="30"/>
        </w:rPr>
        <w:object w:dxaOrig="693" w:dyaOrig="360">
          <v:shape id="_x0000_i1043" type="#_x0000_t75" style="width:34.55pt;height:18.2pt" o:ole="">
            <v:imagedata r:id="rId44" o:title=""/>
          </v:shape>
          <o:OLEObject Type="Embed" ProgID="Equation.DSMT4" ShapeID="_x0000_i1043" DrawAspect="Content" ObjectID="_1765373613" r:id="rId45"/>
        </w:object>
      </w:r>
      <w:r>
        <w:rPr>
          <w:rFonts w:ascii="仿宋_GB2312" w:eastAsia="仿宋_GB2312" w:hint="eastAsia"/>
          <w:sz w:val="30"/>
          <w:szCs w:val="30"/>
        </w:rPr>
        <w:t>是工具</w:t>
      </w:r>
      <w:r>
        <w:rPr>
          <w:rFonts w:ascii="仿宋_GB2312" w:eastAsia="仿宋_GB2312"/>
          <w:sz w:val="30"/>
          <w:szCs w:val="30"/>
        </w:rPr>
        <w:t>i</w:t>
      </w:r>
      <w:r>
        <w:rPr>
          <w:rFonts w:ascii="仿宋_GB2312" w:eastAsia="仿宋_GB2312" w:hint="eastAsia"/>
          <w:sz w:val="30"/>
          <w:szCs w:val="30"/>
        </w:rPr>
        <w:t>的市场价值，取决于风险因子</w:t>
      </w:r>
      <w:r>
        <w:rPr>
          <w:rFonts w:ascii="仿宋_GB2312" w:eastAsia="仿宋_GB2312" w:hint="eastAsia"/>
          <w:sz w:val="30"/>
          <w:szCs w:val="30"/>
        </w:rPr>
        <w:t>k</w:t>
      </w:r>
      <w:r>
        <w:rPr>
          <w:rFonts w:ascii="仿宋_GB2312" w:eastAsia="仿宋_GB2312" w:hint="eastAsia"/>
          <w:sz w:val="30"/>
          <w:szCs w:val="30"/>
        </w:rPr>
        <w:t>的当前值。</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w:t>
      </w:r>
      <w:r>
        <w:rPr>
          <w:position w:val="-12"/>
          <w:sz w:val="30"/>
          <w:szCs w:val="30"/>
        </w:rPr>
        <w:object w:dxaOrig="1787" w:dyaOrig="387">
          <v:shape id="_x0000_i1044" type="#_x0000_t75" style="width:89.45pt;height:19.25pt" o:ole="">
            <v:imagedata r:id="rId46" o:title=""/>
          </v:shape>
          <o:OLEObject Type="Embed" ProgID="Equation.DSMT4" ShapeID="_x0000_i1044" DrawAspect="Content" ObjectID="_1765373614" r:id="rId47"/>
        </w:object>
      </w:r>
      <w:r>
        <w:rPr>
          <w:rFonts w:ascii="仿宋_GB2312" w:eastAsia="仿宋_GB2312" w:hint="eastAsia"/>
          <w:sz w:val="30"/>
          <w:szCs w:val="30"/>
        </w:rPr>
        <w:t>与</w:t>
      </w:r>
      <w:r>
        <w:rPr>
          <w:position w:val="-12"/>
          <w:sz w:val="30"/>
          <w:szCs w:val="30"/>
        </w:rPr>
        <w:object w:dxaOrig="1787" w:dyaOrig="387">
          <v:shape id="_x0000_i1045" type="#_x0000_t75" style="width:89.45pt;height:19.25pt" o:ole="">
            <v:imagedata r:id="rId48" o:title=""/>
          </v:shape>
          <o:OLEObject Type="Embed" ProgID="Equation.DSMT4" ShapeID="_x0000_i1045" DrawAspect="Content" ObjectID="_1765373615" r:id="rId49"/>
        </w:object>
      </w:r>
      <w:r>
        <w:rPr>
          <w:rFonts w:ascii="仿宋_GB2312" w:eastAsia="仿宋_GB2312" w:hint="eastAsia"/>
          <w:sz w:val="30"/>
          <w:szCs w:val="30"/>
        </w:rPr>
        <w:t>受向上冲击和向下冲击移动</w:t>
      </w:r>
      <w:proofErr w:type="gramStart"/>
      <w:r>
        <w:rPr>
          <w:rFonts w:ascii="仿宋_GB2312" w:eastAsia="仿宋_GB2312" w:hint="eastAsia"/>
          <w:sz w:val="30"/>
          <w:szCs w:val="30"/>
        </w:rPr>
        <w:t>后工具</w:t>
      </w:r>
      <w:proofErr w:type="gramEnd"/>
      <w:r>
        <w:rPr>
          <w:rFonts w:ascii="仿宋_GB2312" w:eastAsia="仿宋_GB2312"/>
          <w:sz w:val="30"/>
          <w:szCs w:val="30"/>
        </w:rPr>
        <w:t>i</w:t>
      </w:r>
      <w:r>
        <w:rPr>
          <w:rFonts w:ascii="仿宋_GB2312" w:eastAsia="仿宋_GB2312" w:hint="eastAsia"/>
          <w:sz w:val="30"/>
          <w:szCs w:val="30"/>
        </w:rPr>
        <w:t>的市场价值。</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w:t>
      </w:r>
      <w:r>
        <w:rPr>
          <w:position w:val="-12"/>
          <w:sz w:val="30"/>
          <w:szCs w:val="30"/>
        </w:rPr>
        <w:object w:dxaOrig="1147" w:dyaOrig="387">
          <v:shape id="_x0000_i1046" type="#_x0000_t75" style="width:57.4pt;height:19.25pt" o:ole="">
            <v:imagedata r:id="rId50" o:title=""/>
          </v:shape>
          <o:OLEObject Type="Embed" ProgID="Equation.DSMT4" ShapeID="_x0000_i1046" DrawAspect="Content" ObjectID="_1765373616" r:id="rId51"/>
        </w:object>
      </w:r>
      <w:r>
        <w:rPr>
          <w:rFonts w:ascii="仿宋_GB2312" w:eastAsia="仿宋_GB2312" w:hint="eastAsia"/>
          <w:sz w:val="30"/>
          <w:szCs w:val="30"/>
        </w:rPr>
        <w:t>是工具</w:t>
      </w:r>
      <w:r>
        <w:rPr>
          <w:rFonts w:ascii="仿宋_GB2312" w:eastAsia="仿宋_GB2312"/>
          <w:sz w:val="30"/>
          <w:szCs w:val="30"/>
        </w:rPr>
        <w:t>i</w:t>
      </w:r>
      <w:r>
        <w:rPr>
          <w:rFonts w:ascii="仿宋_GB2312" w:eastAsia="仿宋_GB2312" w:hint="eastAsia"/>
          <w:sz w:val="30"/>
          <w:szCs w:val="30"/>
        </w:rPr>
        <w:t>的曲度风险因子</w:t>
      </w:r>
      <w:r>
        <w:rPr>
          <w:rFonts w:ascii="仿宋_GB2312" w:eastAsia="仿宋_GB2312" w:hint="eastAsia"/>
          <w:sz w:val="30"/>
          <w:szCs w:val="30"/>
        </w:rPr>
        <w:t>k</w:t>
      </w:r>
      <w:r>
        <w:rPr>
          <w:rFonts w:ascii="仿宋_GB2312" w:eastAsia="仿宋_GB2312" w:hint="eastAsia"/>
          <w:sz w:val="30"/>
          <w:szCs w:val="30"/>
        </w:rPr>
        <w:t>的风险权重。</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6</w:t>
      </w:r>
      <w:r>
        <w:rPr>
          <w:rFonts w:ascii="仿宋_GB2312" w:eastAsia="仿宋_GB2312" w:hint="eastAsia"/>
          <w:sz w:val="30"/>
          <w:szCs w:val="30"/>
        </w:rPr>
        <w:t>）对于汇率及股票风险类别，</w:t>
      </w:r>
      <w:r>
        <w:rPr>
          <w:position w:val="-14"/>
          <w:sz w:val="30"/>
          <w:szCs w:val="30"/>
        </w:rPr>
        <w:object w:dxaOrig="467" w:dyaOrig="520">
          <v:shape id="_x0000_i1047" type="#_x0000_t75" style="width:23.5pt;height:26pt" o:ole="">
            <v:imagedata r:id="rId52" o:title=""/>
          </v:shape>
          <o:OLEObject Type="Embed" ProgID="Equation.DSMT4" ShapeID="_x0000_i1047" DrawAspect="Content" ObjectID="_1765373617" r:id="rId53"/>
        </w:object>
      </w:r>
      <w:r>
        <w:rPr>
          <w:rFonts w:ascii="仿宋_GB2312" w:eastAsia="仿宋_GB2312" w:hint="eastAsia"/>
          <w:sz w:val="30"/>
          <w:szCs w:val="30"/>
        </w:rPr>
        <w:t>是受曲度风险因子</w:t>
      </w:r>
      <w:r>
        <w:rPr>
          <w:rFonts w:ascii="仿宋_GB2312" w:eastAsia="仿宋_GB2312" w:hint="eastAsia"/>
          <w:sz w:val="30"/>
          <w:szCs w:val="30"/>
        </w:rPr>
        <w:t>k</w:t>
      </w:r>
      <w:r>
        <w:rPr>
          <w:rFonts w:ascii="仿宋_GB2312" w:eastAsia="仿宋_GB2312" w:hint="eastAsia"/>
          <w:sz w:val="30"/>
          <w:szCs w:val="30"/>
        </w:rPr>
        <w:t>影响的工具</w:t>
      </w:r>
      <w:r>
        <w:rPr>
          <w:rFonts w:ascii="仿宋_GB2312" w:eastAsia="仿宋_GB2312"/>
          <w:sz w:val="30"/>
          <w:szCs w:val="30"/>
        </w:rPr>
        <w:t>i</w:t>
      </w:r>
      <w:r>
        <w:rPr>
          <w:rFonts w:ascii="仿宋_GB2312" w:eastAsia="仿宋_GB2312" w:hint="eastAsia"/>
          <w:sz w:val="30"/>
          <w:szCs w:val="30"/>
        </w:rPr>
        <w:t>的得尔塔敏感度；对于一般利率风险、信用利差风险及商品风险类别，</w:t>
      </w:r>
      <w:r>
        <w:rPr>
          <w:position w:val="-14"/>
          <w:sz w:val="30"/>
          <w:szCs w:val="30"/>
        </w:rPr>
        <w:object w:dxaOrig="427" w:dyaOrig="520">
          <v:shape id="_x0000_i1048" type="#_x0000_t75" style="width:21.4pt;height:26pt" o:ole="">
            <v:imagedata r:id="rId52" o:title=""/>
          </v:shape>
          <o:OLEObject Type="Embed" ProgID="Equation.DSMT4" ShapeID="_x0000_i1048" DrawAspect="Content" ObjectID="_1765373618" r:id="rId54"/>
        </w:object>
      </w:r>
      <w:r>
        <w:rPr>
          <w:rFonts w:ascii="仿宋_GB2312" w:eastAsia="仿宋_GB2312" w:hint="eastAsia"/>
          <w:sz w:val="30"/>
          <w:szCs w:val="30"/>
        </w:rPr>
        <w:t>是受曲度风险因子</w:t>
      </w:r>
      <w:r>
        <w:rPr>
          <w:rFonts w:ascii="仿宋_GB2312" w:eastAsia="仿宋_GB2312" w:hint="eastAsia"/>
          <w:sz w:val="30"/>
          <w:szCs w:val="30"/>
        </w:rPr>
        <w:t>k</w:t>
      </w:r>
      <w:r>
        <w:rPr>
          <w:rFonts w:ascii="仿宋_GB2312" w:eastAsia="仿宋_GB2312" w:hint="eastAsia"/>
          <w:sz w:val="30"/>
          <w:szCs w:val="30"/>
        </w:rPr>
        <w:t>影响的工具</w:t>
      </w:r>
      <w:r>
        <w:rPr>
          <w:rFonts w:ascii="仿宋_GB2312" w:eastAsia="仿宋_GB2312"/>
          <w:sz w:val="30"/>
          <w:szCs w:val="30"/>
        </w:rPr>
        <w:t>i</w:t>
      </w:r>
      <w:r>
        <w:rPr>
          <w:rFonts w:ascii="仿宋_GB2312" w:eastAsia="仿宋_GB2312" w:hint="eastAsia"/>
          <w:sz w:val="30"/>
          <w:szCs w:val="30"/>
        </w:rPr>
        <w:t>的相关曲线上所有期限得尔塔敏感度之</w:t>
      </w:r>
      <w:proofErr w:type="gramStart"/>
      <w:r>
        <w:rPr>
          <w:rFonts w:ascii="仿宋_GB2312" w:eastAsia="仿宋_GB2312" w:hint="eastAsia"/>
          <w:sz w:val="30"/>
          <w:szCs w:val="30"/>
        </w:rPr>
        <w:t>和</w:t>
      </w:r>
      <w:proofErr w:type="gramEnd"/>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风险组的曲度敏感度风险头寸</w:t>
      </w:r>
      <w:proofErr w:type="gramStart"/>
      <w:r>
        <w:rPr>
          <w:rFonts w:ascii="仿宋_GB2312" w:eastAsia="仿宋_GB2312" w:hint="eastAsia"/>
          <w:sz w:val="30"/>
          <w:szCs w:val="30"/>
        </w:rPr>
        <w:t>由风险</w:t>
      </w:r>
      <w:proofErr w:type="gramEnd"/>
      <w:r>
        <w:rPr>
          <w:rFonts w:ascii="仿宋_GB2312" w:eastAsia="仿宋_GB2312" w:hint="eastAsia"/>
          <w:sz w:val="30"/>
          <w:szCs w:val="30"/>
        </w:rPr>
        <w:t>组内加总得出，公式如下：</w:t>
      </w:r>
    </w:p>
    <w:p w:rsidR="004165E8" w:rsidRDefault="00A108D9">
      <w:pPr>
        <w:widowControl/>
        <w:spacing w:line="480" w:lineRule="exact"/>
        <w:jc w:val="center"/>
        <w:rPr>
          <w:sz w:val="30"/>
          <w:szCs w:val="30"/>
        </w:rPr>
      </w:pPr>
      <w:r>
        <w:rPr>
          <w:position w:val="-18"/>
          <w:sz w:val="30"/>
          <w:szCs w:val="30"/>
        </w:rPr>
        <w:object w:dxaOrig="2040" w:dyaOrig="467">
          <v:shape id="_x0000_i1049" type="#_x0000_t75" style="width:101.95pt;height:23.5pt" o:ole="">
            <v:imagedata r:id="rId55" o:title=""/>
          </v:shape>
          <o:OLEObject Type="Embed" ProgID="Equation.DSMT4" ShapeID="_x0000_i1049" DrawAspect="Content" ObjectID="_1765373619" r:id="rId56"/>
        </w:object>
      </w:r>
    </w:p>
    <w:p w:rsidR="004165E8" w:rsidRDefault="00A108D9">
      <w:pPr>
        <w:widowControl/>
        <w:jc w:val="center"/>
        <w:rPr>
          <w:rFonts w:ascii="仿宋_GB2312" w:eastAsia="仿宋_GB2312"/>
          <w:sz w:val="30"/>
          <w:szCs w:val="30"/>
        </w:rPr>
      </w:pPr>
      <w:r>
        <w:rPr>
          <w:position w:val="-62"/>
          <w:sz w:val="30"/>
          <w:szCs w:val="30"/>
        </w:rPr>
        <w:object w:dxaOrig="6973" w:dyaOrig="1360">
          <v:shape id="_x0000_i1050" type="#_x0000_t75" style="width:348.6pt;height:68.1pt" o:ole="">
            <v:imagedata r:id="rId57" o:title=""/>
          </v:shape>
          <o:OLEObject Type="Embed" ProgID="Equation.DSMT4" ShapeID="_x0000_i1050" DrawAspect="Content" ObjectID="_1765373620" r:id="rId58"/>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w:t>
      </w:r>
      <w:r>
        <w:rPr>
          <w:position w:val="-14"/>
          <w:sz w:val="30"/>
          <w:szCs w:val="30"/>
        </w:rPr>
        <w:object w:dxaOrig="400" w:dyaOrig="387">
          <v:shape id="_x0000_i1051" type="#_x0000_t75" style="width:19.95pt;height:19.25pt" o:ole="">
            <v:imagedata r:id="rId59" o:title=""/>
          </v:shape>
          <o:OLEObject Type="Embed" ProgID="Equation.DSMT4" ShapeID="_x0000_i1051" DrawAspect="Content" ObjectID="_1765373621" r:id="rId60"/>
        </w:object>
      </w:r>
      <w:r>
        <w:rPr>
          <w:rFonts w:ascii="仿宋_GB2312" w:eastAsia="仿宋_GB2312" w:hint="eastAsia"/>
          <w:sz w:val="30"/>
          <w:szCs w:val="30"/>
        </w:rPr>
        <w:t>是同一风险组内的不同风险因子加权敏感度的相关系数。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）若</w:t>
      </w:r>
      <w:r>
        <w:rPr>
          <w:position w:val="-14"/>
          <w:sz w:val="30"/>
          <w:szCs w:val="30"/>
        </w:rPr>
        <w:object w:dxaOrig="1053" w:dyaOrig="400">
          <v:shape id="_x0000_i1052" type="#_x0000_t75" style="width:52.75pt;height:19.95pt" o:ole="">
            <v:imagedata r:id="rId61" o:title=""/>
          </v:shape>
          <o:OLEObject Type="Embed" ProgID="Equation.DSMT4" ShapeID="_x0000_i1052" DrawAspect="Content" ObjectID="_1765373622" r:id="rId62"/>
        </w:object>
      </w:r>
      <w:r>
        <w:rPr>
          <w:rFonts w:ascii="仿宋_GB2312" w:eastAsia="仿宋_GB2312" w:hint="eastAsia"/>
          <w:sz w:val="30"/>
          <w:szCs w:val="30"/>
        </w:rPr>
        <w:t>，为向上冲击情景；若</w:t>
      </w:r>
      <w:r>
        <w:rPr>
          <w:position w:val="-14"/>
          <w:sz w:val="30"/>
          <w:szCs w:val="30"/>
        </w:rPr>
        <w:object w:dxaOrig="1053" w:dyaOrig="400">
          <v:shape id="_x0000_i1053" type="#_x0000_t75" style="width:52.75pt;height:19.95pt" o:ole="">
            <v:imagedata r:id="rId63" o:title=""/>
          </v:shape>
          <o:OLEObject Type="Embed" ProgID="Equation.DSMT4" ShapeID="_x0000_i1053" DrawAspect="Content" ObjectID="_1765373623" r:id="rId64"/>
        </w:object>
      </w:r>
      <w:r>
        <w:rPr>
          <w:rFonts w:ascii="仿宋_GB2312" w:eastAsia="仿宋_GB2312" w:hint="eastAsia"/>
          <w:sz w:val="30"/>
          <w:szCs w:val="30"/>
        </w:rPr>
        <w:t>，为向下冲击情景；若</w:t>
      </w:r>
      <w:r>
        <w:rPr>
          <w:position w:val="-14"/>
          <w:sz w:val="30"/>
          <w:szCs w:val="30"/>
        </w:rPr>
        <w:object w:dxaOrig="1187" w:dyaOrig="400">
          <v:shape id="_x0000_i1054" type="#_x0000_t75" style="width:59.5pt;height:19.95pt" o:ole="">
            <v:imagedata r:id="rId65" o:title=""/>
          </v:shape>
          <o:OLEObject Type="Embed" ProgID="Equation.DSMT4" ShapeID="_x0000_i1054" DrawAspect="Content" ObjectID="_1765373624" r:id="rId66"/>
        </w:object>
      </w:r>
      <w:r>
        <w:rPr>
          <w:rFonts w:ascii="仿宋_GB2312" w:eastAsia="仿宋_GB2312" w:hint="eastAsia"/>
          <w:sz w:val="30"/>
          <w:szCs w:val="30"/>
        </w:rPr>
        <w:t>，如果</w:t>
      </w:r>
      <w:r>
        <w:rPr>
          <w:position w:val="-16"/>
          <w:sz w:val="30"/>
          <w:szCs w:val="30"/>
        </w:rPr>
        <w:object w:dxaOrig="2373" w:dyaOrig="440">
          <v:shape id="_x0000_i1055" type="#_x0000_t75" style="width:118.7pt;height:22.1pt" o:ole="">
            <v:imagedata r:id="rId67" o:title=""/>
          </v:shape>
          <o:OLEObject Type="Embed" ProgID="Equation.DSMT4" ShapeID="_x0000_i1055" DrawAspect="Content" ObjectID="_1765373625" r:id="rId68"/>
        </w:object>
      </w:r>
      <w:r>
        <w:rPr>
          <w:rFonts w:ascii="仿宋_GB2312" w:eastAsia="仿宋_GB2312" w:hint="eastAsia"/>
          <w:sz w:val="30"/>
          <w:szCs w:val="30"/>
        </w:rPr>
        <w:t>，为向上冲击情景，反之则为向下冲击情景。</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3</w:t>
      </w:r>
      <w:r>
        <w:rPr>
          <w:rFonts w:ascii="仿宋_GB2312" w:eastAsia="仿宋_GB2312" w:hint="eastAsia"/>
          <w:sz w:val="30"/>
          <w:szCs w:val="30"/>
        </w:rPr>
        <w:t>）如果</w:t>
      </w:r>
      <w:r>
        <w:rPr>
          <w:position w:val="-14"/>
          <w:sz w:val="30"/>
          <w:szCs w:val="30"/>
        </w:rPr>
        <w:object w:dxaOrig="733" w:dyaOrig="400">
          <v:shape id="_x0000_i1056" type="#_x0000_t75" style="width:36.7pt;height:19.95pt" o:ole="">
            <v:imagedata r:id="rId69" o:title=""/>
          </v:shape>
          <o:OLEObject Type="Embed" ProgID="Equation.DSMT4" ShapeID="_x0000_i1056" DrawAspect="Content" ObjectID="_1765373626" r:id="rId70"/>
        </w:object>
      </w:r>
      <w:r>
        <w:rPr>
          <w:rFonts w:ascii="仿宋_GB2312" w:eastAsia="仿宋_GB2312" w:hint="eastAsia"/>
          <w:sz w:val="30"/>
          <w:szCs w:val="30"/>
        </w:rPr>
        <w:t>与</w:t>
      </w:r>
      <w:r>
        <w:rPr>
          <w:position w:val="-14"/>
          <w:sz w:val="30"/>
          <w:szCs w:val="30"/>
        </w:rPr>
        <w:object w:dxaOrig="693" w:dyaOrig="400">
          <v:shape id="_x0000_i1057" type="#_x0000_t75" style="width:34.55pt;height:19.95pt" o:ole="">
            <v:imagedata r:id="rId71" o:title=""/>
          </v:shape>
          <o:OLEObject Type="Embed" ProgID="Equation.DSMT4" ShapeID="_x0000_i1057" DrawAspect="Content" ObjectID="_1765373627" r:id="rId72"/>
        </w:object>
      </w:r>
      <w:r>
        <w:rPr>
          <w:rFonts w:ascii="仿宋_GB2312" w:eastAsia="仿宋_GB2312" w:hint="eastAsia"/>
          <w:sz w:val="30"/>
          <w:szCs w:val="30"/>
        </w:rPr>
        <w:t>都为负数，则</w:t>
      </w:r>
      <m:oMath>
        <m:r>
          <w:rPr>
            <w:rFonts w:ascii="Cambria Math" w:eastAsia="仿宋_GB2312" w:hAnsi="Cambria Math"/>
            <w:sz w:val="30"/>
            <w:szCs w:val="30"/>
          </w:rPr>
          <m:t>ψ</m:t>
        </m:r>
        <m:d>
          <m:dPr>
            <m:ctrlPr>
              <w:rPr>
                <w:rFonts w:ascii="Cambria Math" w:eastAsia="仿宋_GB2312" w:hAnsi="Cambria Math" w:hint="eastAsia"/>
                <w:i/>
                <w:sz w:val="30"/>
                <w:szCs w:val="30"/>
              </w:rPr>
            </m:ctrlPr>
          </m:dPr>
          <m:e>
            <m:r>
              <w:rPr>
                <w:rFonts w:ascii="Cambria Math" w:eastAsia="仿宋_GB2312" w:hAnsi="Cambria Math"/>
                <w:sz w:val="30"/>
                <w:szCs w:val="30"/>
              </w:rPr>
              <m:t>CV</m:t>
            </m:r>
            <m:sSub>
              <m:sSubPr>
                <m:ctrlPr>
                  <w:rPr>
                    <w:rFonts w:ascii="Cambria Math" w:eastAsia="仿宋_GB2312" w:hAnsi="Cambria Math" w:hint="eastAsia"/>
                    <w:i/>
                    <w:sz w:val="30"/>
                    <w:szCs w:val="30"/>
                  </w:rPr>
                </m:ctrlPr>
              </m:sSubPr>
              <m:e>
                <m:r>
                  <w:rPr>
                    <w:rFonts w:ascii="Cambria Math" w:eastAsia="仿宋_GB2312" w:hAnsi="Cambria Math"/>
                    <w:sz w:val="30"/>
                    <w:szCs w:val="30"/>
                  </w:rPr>
                  <m:t>R</m:t>
                </m:r>
              </m:e>
              <m:sub>
                <m:r>
                  <w:rPr>
                    <w:rFonts w:ascii="Cambria Math" w:eastAsia="仿宋_GB2312" w:hAnsi="Cambria Math"/>
                    <w:sz w:val="30"/>
                    <w:szCs w:val="30"/>
                  </w:rPr>
                  <m:t>k</m:t>
                </m:r>
              </m:sub>
            </m:sSub>
            <m:r>
              <w:rPr>
                <w:rFonts w:ascii="Cambria Math" w:eastAsia="仿宋_GB2312" w:hAnsi="Cambria Math"/>
                <w:sz w:val="30"/>
                <w:szCs w:val="30"/>
              </w:rPr>
              <m:t>,</m:t>
            </m:r>
            <m:r>
              <w:rPr>
                <w:rFonts w:ascii="Cambria Math" w:eastAsia="仿宋_GB2312" w:hAnsi="Cambria Math"/>
                <w:sz w:val="30"/>
                <w:szCs w:val="30"/>
              </w:rPr>
              <m:t>C</m:t>
            </m:r>
            <m:r>
              <w:rPr>
                <w:rFonts w:ascii="Cambria Math" w:eastAsia="仿宋_GB2312" w:hAnsi="Cambria Math"/>
                <w:sz w:val="30"/>
                <w:szCs w:val="30"/>
              </w:rPr>
              <m:t>V</m:t>
            </m:r>
            <m:sSub>
              <m:sSubPr>
                <m:ctrlPr>
                  <w:rPr>
                    <w:rFonts w:ascii="Cambria Math" w:eastAsia="仿宋_GB2312" w:hAnsi="Cambria Math" w:hint="eastAsia"/>
                    <w:i/>
                    <w:sz w:val="30"/>
                    <w:szCs w:val="30"/>
                  </w:rPr>
                </m:ctrlPr>
              </m:sSubPr>
              <m:e>
                <m:r>
                  <w:rPr>
                    <w:rFonts w:ascii="Cambria Math" w:eastAsia="仿宋_GB2312" w:hAnsi="Cambria Math"/>
                    <w:sz w:val="30"/>
                    <w:szCs w:val="30"/>
                  </w:rPr>
                  <m:t>R</m:t>
                </m:r>
              </m:e>
              <m:sub>
                <m:r>
                  <w:rPr>
                    <w:rFonts w:ascii="Cambria Math" w:eastAsia="仿宋_GB2312" w:hAnsi="Cambria Math"/>
                    <w:sz w:val="30"/>
                    <w:szCs w:val="30"/>
                  </w:rPr>
                  <m:t>l</m:t>
                </m:r>
              </m:sub>
            </m:sSub>
          </m:e>
        </m:d>
      </m:oMath>
      <w:r>
        <w:rPr>
          <w:rFonts w:ascii="仿宋_GB2312" w:eastAsia="仿宋_GB2312" w:hint="eastAsia"/>
          <w:sz w:val="30"/>
          <w:szCs w:val="30"/>
        </w:rPr>
        <w:t>取</w:t>
      </w:r>
      <w:r>
        <w:rPr>
          <w:rFonts w:ascii="仿宋_GB2312" w:eastAsia="仿宋_GB2312" w:hint="eastAsia"/>
          <w:sz w:val="30"/>
          <w:szCs w:val="30"/>
        </w:rPr>
        <w:t>0</w:t>
      </w:r>
      <w:r>
        <w:rPr>
          <w:rFonts w:ascii="仿宋_GB2312" w:eastAsia="仿宋_GB2312" w:hint="eastAsia"/>
          <w:sz w:val="30"/>
          <w:szCs w:val="30"/>
        </w:rPr>
        <w:t>，否则取</w:t>
      </w:r>
      <w:r>
        <w:rPr>
          <w:rFonts w:ascii="仿宋_GB2312" w:eastAsia="仿宋_GB2312" w:hint="eastAsia"/>
          <w:sz w:val="30"/>
          <w:szCs w:val="30"/>
        </w:rPr>
        <w:t>1</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每一风险类别的敏感度资本要求</w:t>
      </w:r>
      <w:proofErr w:type="gramStart"/>
      <w:r>
        <w:rPr>
          <w:rFonts w:ascii="仿宋_GB2312" w:eastAsia="仿宋_GB2312" w:hint="eastAsia"/>
          <w:sz w:val="30"/>
          <w:szCs w:val="30"/>
        </w:rPr>
        <w:t>由风险组</w:t>
      </w:r>
      <w:proofErr w:type="gramEnd"/>
      <w:r>
        <w:rPr>
          <w:rFonts w:ascii="仿宋_GB2312" w:eastAsia="仿宋_GB2312" w:hint="eastAsia"/>
          <w:sz w:val="30"/>
          <w:szCs w:val="30"/>
        </w:rPr>
        <w:t>间加总得出，公式如下：</w:t>
      </w:r>
    </w:p>
    <w:p w:rsidR="004165E8" w:rsidRDefault="00A108D9">
      <w:pPr>
        <w:widowControl/>
        <w:jc w:val="center"/>
        <w:rPr>
          <w:rFonts w:ascii="仿宋_GB2312" w:eastAsia="仿宋_GB2312"/>
          <w:sz w:val="30"/>
          <w:szCs w:val="30"/>
        </w:rPr>
      </w:pPr>
      <w:r>
        <w:rPr>
          <w:position w:val="-26"/>
          <w:sz w:val="30"/>
          <w:szCs w:val="30"/>
        </w:rPr>
        <w:object w:dxaOrig="5747" w:dyaOrig="693">
          <v:shape id="_x0000_i1058" type="#_x0000_t75" style="width:287.3pt;height:34.55pt" o:ole="">
            <v:imagedata r:id="rId73" o:title=""/>
          </v:shape>
          <o:OLEObject Type="Embed" ProgID="Equation.DSMT4" ShapeID="_x0000_i1058" DrawAspect="Content" ObjectID="_1765373628" r:id="rId74"/>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其中：</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w:t>
      </w:r>
      <w:r>
        <w:rPr>
          <w:position w:val="-12"/>
          <w:sz w:val="30"/>
          <w:szCs w:val="30"/>
        </w:rPr>
        <w:object w:dxaOrig="360" w:dyaOrig="360">
          <v:shape id="_x0000_i1059" type="#_x0000_t75" style="width:18.2pt;height:18.2pt" o:ole="">
            <v:imagedata r:id="rId18" o:title=""/>
          </v:shape>
          <o:OLEObject Type="Embed" ProgID="Equation.DSMT4" ShapeID="_x0000_i1059" DrawAspect="Content" ObjectID="_1765373629" r:id="rId75"/>
        </w:object>
      </w:r>
      <w:r>
        <w:rPr>
          <w:rFonts w:ascii="仿宋_GB2312" w:eastAsia="仿宋_GB2312" w:hint="eastAsia"/>
          <w:sz w:val="30"/>
          <w:szCs w:val="30"/>
        </w:rPr>
        <w:t>是不同风险组间的相关系数。</w:t>
      </w:r>
    </w:p>
    <w:p w:rsidR="004165E8" w:rsidRDefault="00A108D9">
      <w:pPr>
        <w:widowControl/>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）若在本附件第二部分（二）</w:t>
      </w:r>
      <w:r>
        <w:rPr>
          <w:rFonts w:ascii="仿宋_GB2312" w:eastAsia="仿宋_GB2312"/>
          <w:sz w:val="30"/>
          <w:szCs w:val="30"/>
        </w:rPr>
        <w:t>4</w:t>
      </w: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）中为向上冲击情景，则</w:t>
      </w:r>
      <w:r>
        <w:rPr>
          <w:position w:val="-28"/>
          <w:sz w:val="30"/>
          <w:szCs w:val="30"/>
        </w:rPr>
        <w:object w:dxaOrig="1467" w:dyaOrig="547">
          <v:shape id="_x0000_i1060" type="#_x0000_t75" style="width:73.45pt;height:27.45pt" o:ole="">
            <v:imagedata r:id="rId76" o:title=""/>
          </v:shape>
          <o:OLEObject Type="Embed" ProgID="Equation.DSMT4" ShapeID="_x0000_i1060" DrawAspect="Content" ObjectID="_1765373630" r:id="rId77"/>
        </w:object>
      </w:r>
      <w:r>
        <w:rPr>
          <w:rFonts w:ascii="仿宋_GB2312" w:eastAsia="仿宋_GB2312" w:hint="eastAsia"/>
          <w:sz w:val="30"/>
          <w:szCs w:val="30"/>
        </w:rPr>
        <w:t>，否则</w:t>
      </w:r>
      <w:r>
        <w:rPr>
          <w:position w:val="-28"/>
          <w:sz w:val="30"/>
          <w:szCs w:val="30"/>
        </w:rPr>
        <w:object w:dxaOrig="1467" w:dyaOrig="547">
          <v:shape id="_x0000_i1061" type="#_x0000_t75" style="width:73.45pt;height:27.45pt" o:ole="">
            <v:imagedata r:id="rId78" o:title=""/>
          </v:shape>
          <o:OLEObject Type="Embed" ProgID="Equation.DSMT4" ShapeID="_x0000_i1061" DrawAspect="Content" ObjectID="_1765373631" r:id="rId79"/>
        </w:object>
      </w:r>
      <w:r>
        <w:rPr>
          <w:rFonts w:ascii="仿宋_GB2312" w:eastAsia="仿宋_GB2312"/>
          <w:sz w:val="30"/>
          <w:szCs w:val="30"/>
        </w:rPr>
        <w:fldChar w:fldCharType="begin"/>
      </w:r>
      <w:r>
        <w:rPr>
          <w:rFonts w:ascii="仿宋_GB2312" w:eastAsia="仿宋_GB2312"/>
          <w:sz w:val="30"/>
          <w:szCs w:val="30"/>
        </w:rPr>
        <w:instrText xml:space="preserve"> QUOTE </w:instrText>
      </w:r>
      <w:r w:rsidR="00715E45">
        <w:rPr>
          <w:position w:val="-21"/>
          <w:sz w:val="30"/>
          <w:szCs w:val="30"/>
        </w:rPr>
        <w:pict>
          <v:shape id="_x0000_i1062" type="#_x0000_t75" style="width:56.65pt;height:31.3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72A27&quot;/&gt;&lt;wsp:rsid wsp:val=&quot;0000188F&quot;/&gt;&lt;wsp:rsid wsp:val=&quot;000040E4&quot;/&gt;&lt;wsp:rsid wsp:val=&quot;000048EB&quot;/&gt;&lt;wsp:rsid wsp:val=&quot;00006AF5&quot;/&gt;&lt;wsp:rsid wsp:val=&quot;000101C5&quot;/&gt;&lt;wsp:rsid wsp:val=&quot;00012101&quot;/&gt;&lt;wsp:rsid wsp:val=&quot;0001559B&quot;/&gt;&lt;wsp:rsid wsp:val=&quot;000163C2&quot;/&gt;&lt;wsp:rsid wsp:val=&quot;000208AB&quot;/&gt;&lt;wsp:rsid wsp:val=&quot;0002097E&quot;/&gt;&lt;wsp:rsid wsp:val=&quot;00020F88&quot;/&gt;&lt;wsp:rsid wsp:val=&quot;0002411C&quot;/&gt;&lt;wsp:rsid wsp:val=&quot;000265F9&quot;/&gt;&lt;wsp:rsid wsp:val=&quot;0002671E&quot;/&gt;&lt;wsp:rsid wsp:val=&quot;00033330&quot;/&gt;&lt;wsp:rsid wsp:val=&quot;00034CD4&quot;/&gt;&lt;wsp:rsid wsp:val=&quot;00035CA5&quot;/&gt;&lt;wsp:rsid wsp:val=&quot;000368B5&quot;/&gt;&lt;wsp:rsid wsp:val=&quot;00036AF1&quot;/&gt;&lt;wsp:rsid wsp:val=&quot;00045C4B&quot;/&gt;&lt;wsp:rsid wsp:val=&quot;00047D0E&quot;/&gt;&lt;wsp:rsid wsp:val=&quot;00060154&quot;/&gt;&lt;wsp:rsid wsp:val=&quot;00063822&quot;/&gt;&lt;wsp:rsid wsp:val=&quot;00064401&quot;/&gt;&lt;wsp:rsid wsp:val=&quot;00070F41&quot;/&gt;&lt;wsp:rsid wsp:val=&quot;0007175D&quot;/&gt;&lt;wsp:rsid wsp:val=&quot;00071E7C&quot;/&gt;&lt;wsp:rsid wsp:val=&quot;00073BF3&quot;/&gt;&lt;wsp:rsid wsp:val=&quot;00073E9F&quot;/&gt;&lt;wsp:rsid wsp:val=&quot;00074126&quot;/&gt;&lt;wsp:rsid wsp:val=&quot;00074148&quot;/&gt;&lt;wsp:rsid wsp:val=&quot;00074E55&quot;/&gt;&lt;wsp:rsid wsp:val=&quot;0007751B&quot;/&gt;&lt;wsp:rsid wsp:val=&quot;0008715E&quot;/&gt;&lt;wsp:rsid wsp:val=&quot;00090F74&quot;/&gt;&lt;wsp:rsid wsp:val=&quot;0009121A&quot;/&gt;&lt;wsp:rsid wsp:val=&quot;0009265A&quot;/&gt;&lt;wsp:rsid wsp:val=&quot;000927BE&quot;/&gt;&lt;wsp:rsid wsp:val=&quot;000927D2&quot;/&gt;&lt;wsp:rsid wsp:val=&quot;00094DF9&quot;/&gt;&lt;wsp:rsid wsp:val=&quot;00095F1B&quot;/&gt;&lt;wsp:rsid wsp:val=&quot;00096D89&quot;/&gt;&lt;wsp:rsid wsp:val=&quot;000A280F&quot;/&gt;&lt;wsp:rsid wsp:val=&quot;000A426A&quot;/&gt;&lt;wsp:rsid wsp:val=&quot;000A5EFE&quot;/&gt;&lt;wsp:rsid wsp:val=&quot;000A6041&quot;/&gt;&lt;wsp:rsid wsp:val=&quot;000A7FC1&quot;/&gt;&lt;wsp:rsid wsp:val=&quot;000B09AF&quot;/&gt;&lt;wsp:rsid wsp:val=&quot;000B0D4A&quot;/&gt;&lt;wsp:rsid wsp:val=&quot;000B0D63&quot;/&gt;&lt;wsp:rsid wsp:val=&quot;000B4E61&quot;/&gt;&lt;wsp:rsid wsp:val=&quot;000C2DB5&quot;/&gt;&lt;wsp:rsid wsp:val=&quot;000C2E77&quot;/&gt;&lt;wsp:rsid wsp:val=&quot;000C4261&quot;/&gt;&lt;wsp:rsid wsp:val=&quot;000C5336&quot;/&gt;&lt;wsp:rsid wsp:val=&quot;000C7D7F&quot;/&gt;&lt;wsp:rsid wsp:val=&quot;000D0106&quot;/&gt;&lt;wsp:rsid wsp:val=&quot;000D2E1B&quot;/&gt;&lt;wsp:rsid wsp:val=&quot;000E0C7F&quot;/&gt;&lt;wsp:rsid wsp:val=&quot;000E1D69&quot;/&gt;&lt;wsp:rsid wsp:val=&quot;000E5582&quot;/&gt;&lt;wsp:rsid wsp:val=&quot;000E5E4A&quot;/&gt;&lt;wsp:rsid wsp:val=&quot;000E6ABE&quot;/&gt;&lt;wsp:rsid wsp:val=&quot;000F094D&quot;/&gt;&lt;wsp:rsid wsp:val=&quot;000F1F97&quot;/&gt;&lt;wsp:rsid wsp:val=&quot;000F2038&quot;/&gt;&lt;wsp:rsid wsp:val=&quot;000F23E3&quot;/&gt;&lt;wsp:rsid wsp:val=&quot;000F2DF9&quot;/&gt;&lt;wsp:rsid wsp:val=&quot;000F3581&quot;/&gt;&lt;wsp:rsid wsp:val=&quot;000F5A98&quot;/&gt;&lt;wsp:rsid wsp:val=&quot;00102A2B&quot;/&gt;&lt;wsp:rsid wsp:val=&quot;0010560C&quot;/&gt;&lt;wsp:rsid wsp:val=&quot;00106FD6&quot;/&gt;&lt;wsp:rsid wsp:val=&quot;001071C2&quot;/&gt;&lt;wsp:rsid wsp:val=&quot;00107BFF&quot;/&gt;&lt;wsp:rsid wsp:val=&quot;00110A14&quot;/&gt;&lt;wsp:rsid wsp:val=&quot;001110EA&quot;/&gt;&lt;wsp:rsid wsp:val=&quot;00116D54&quot;/&gt;&lt;wsp:rsid wsp:val=&quot;00134A3A&quot;/&gt;&lt;wsp:rsid wsp:val=&quot;00134EF5&quot;/&gt;&lt;wsp:rsid wsp:val=&quot;0014367E&quot;/&gt;&lt;wsp:rsid wsp:val=&quot;001437F3&quot;/&gt;&lt;wsp:rsid wsp:val=&quot;00143E43&quot;/&gt;&lt;wsp:rsid wsp:val=&quot;00146D18&quot;/&gt;&lt;wsp:rsid wsp:val=&quot;0014733E&quot;/&gt;&lt;wsp:rsid wsp:val=&quot;00147956&quot;/&gt;&lt;wsp:rsid wsp:val=&quot;00147EA9&quot;/&gt;&lt;wsp:rsid wsp:val=&quot;00151765&quot;/&gt;&lt;wsp:rsid wsp:val=&quot;00153B23&quot;/&gt;&lt;wsp:rsid wsp:val=&quot;00154C7A&quot;/&gt;&lt;wsp:rsid wsp:val=&quot;00155B2A&quot;/&gt;&lt;wsp:rsid wsp:val=&quot;0016563F&quot;/&gt;&lt;wsp:rsid wsp:val=&quot;00172A27&quot;/&gt;&lt;wsp:rsid wsp:val=&quot;00175438&quot;/&gt;&lt;wsp:rsid wsp:val=&quot;001768F8&quot;/&gt;&lt;wsp:rsid wsp:val=&quot;0017699A&quot;/&gt;&lt;wsp:rsid wsp:val=&quot;0017757F&quot;/&gt;&lt;wsp:rsid wsp:val=&quot;00177B1A&quot;/&gt;&lt;wsp:rsid wsp:val=&quot;001808FC&quot;/&gt;&lt;wsp:rsid wsp:val=&quot;00181918&quot;/&gt;&lt;wsp:rsid wsp:val=&quot;00190BAA&quot;/&gt;&lt;wsp:rsid wsp:val=&quot;00190CF8&quot;/&gt;&lt;wsp:rsid wsp:val=&quot;001944E3&quot;/&gt;&lt;wsp:rsid wsp:val=&quot;00195795&quot;/&gt;&lt;wsp:rsid wsp:val=&quot;001A09F6&quot;/&gt;&lt;wsp:rsid wsp:val=&quot;001A0D57&quot;/&gt;&lt;wsp:rsid wsp:val=&quot;001A148D&quot;/&gt;&lt;wsp:rsid wsp:val=&quot;001A5DC4&quot;/&gt;&lt;wsp:rsid wsp:val=&quot;001A6B81&quot;/&gt;&lt;wsp:rsid wsp:val=&quot;001B155B&quot;/&gt;&lt;wsp:rsid wsp:val=&quot;001B1FC4&quot;/&gt;&lt;wsp:rsid wsp:val=&quot;001B23D0&quot;/&gt;&lt;wsp:rsid wsp:val=&quot;001C1658&quot;/&gt;&lt;wsp:rsid wsp:val=&quot;001C1CEE&quot;/&gt;&lt;wsp:rsid wsp:val=&quot;001C25B7&quot;/&gt;&lt;wsp:rsid wsp:val=&quot;001C4F59&quot;/&gt;&lt;wsp:rsid wsp:val=&quot;001C72A4&quot;/&gt;&lt;wsp:rsid wsp:val=&quot;001D1487&quot;/&gt;&lt;wsp:rsid wsp:val=&quot;001D2A44&quot;/&gt;&lt;wsp:rsid wsp:val=&quot;001D30C3&quot;/&gt;&lt;wsp:rsid wsp:val=&quot;001D3AD8&quot;/&gt;&lt;wsp:rsid wsp:val=&quot;001D70DD&quot;/&gt;&lt;wsp:rsid wsp:val=&quot;001E12F5&quot;/&gt;&lt;wsp:rsid wsp:val=&quot;001E320F&quot;/&gt;&lt;wsp:rsid wsp:val=&quot;001F1C14&quot;/&gt;&lt;wsp:rsid wsp:val=&quot;001F210C&quot;/&gt;&lt;wsp:rsid wsp:val=&quot;001F3177&quot;/&gt;&lt;wsp:rsid wsp:val=&quot;001F32EB&quot;/&gt;&lt;wsp:rsid wsp:val=&quot;001F3C35&quot;/&gt;&lt;wsp:rsid wsp:val=&quot;001F6FC6&quot;/&gt;&lt;wsp:rsid wsp:val=&quot;001F7154&quot;/&gt;&lt;wsp:rsid wsp:val=&quot;001F71E3&quot;/&gt;&lt;wsp:rsid wsp:val=&quot;00203BB5&quot;/&gt;&lt;wsp:rsid wsp:val=&quot;00204F5B&quot;/&gt;&lt;wsp:rsid wsp:val=&quot;0020509A&quot;/&gt;&lt;wsp:rsid wsp:val=&quot;00210AFE&quot;/&gt;&lt;wsp:rsid wsp:val=&quot;002200EA&quot;/&gt;&lt;wsp:rsid wsp:val=&quot;002206FC&quot;/&gt;&lt;wsp:rsid wsp:val=&quot;00220DF6&quot;/&gt;&lt;wsp:rsid wsp:val=&quot;00221E0D&quot;/&gt;&lt;wsp:rsid wsp:val=&quot;00233035&quot;/&gt;&lt;wsp:rsid wsp:val=&quot;002369A8&quot;/&gt;&lt;wsp:rsid wsp:val=&quot;00242B03&quot;/&gt;&lt;wsp:rsid wsp:val=&quot;002447E9&quot;/&gt;&lt;wsp:rsid wsp:val=&quot;00250B9A&quot;/&gt;&lt;wsp:rsid wsp:val=&quot;00253E69&quot;/&gt;&lt;wsp:rsid wsp:val=&quot;00265530&quot;/&gt;&lt;wsp:rsid wsp:val=&quot;00265C1C&quot;/&gt;&lt;wsp:rsid wsp:val=&quot;00266934&quot;/&gt;&lt;wsp:rsid wsp:val=&quot;00266BF5&quot;/&gt;&lt;wsp:rsid wsp:val=&quot;00267F63&quot;/&gt;&lt;wsp:rsid wsp:val=&quot;0028004C&quot;/&gt;&lt;wsp:rsid wsp:val=&quot;0028220A&quot;/&gt;&lt;wsp:rsid wsp:val=&quot;00282AC5&quot;/&gt;&lt;wsp:rsid wsp:val=&quot;0028442F&quot;/&gt;&lt;wsp:rsid wsp:val=&quot;00284FCD&quot;/&gt;&lt;wsp:rsid wsp:val=&quot;00285F22&quot;/&gt;&lt;wsp:rsid wsp:val=&quot;0029147B&quot;/&gt;&lt;wsp:rsid wsp:val=&quot;00292699&quot;/&gt;&lt;wsp:rsid wsp:val=&quot;0029281E&quot;/&gt;&lt;wsp:rsid wsp:val=&quot;00292984&quot;/&gt;&lt;wsp:rsid wsp:val=&quot;0029432B&quot;/&gt;&lt;wsp:rsid wsp:val=&quot;00294B52&quot;/&gt;&lt;wsp:rsid wsp:val=&quot;002B1D21&quot;/&gt;&lt;wsp:rsid wsp:val=&quot;002B53F4&quot;/&gt;&lt;wsp:rsid wsp:val=&quot;002B6B54&quot;/&gt;&lt;wsp:rsid wsp:val=&quot;002C3A9D&quot;/&gt;&lt;wsp:rsid wsp:val=&quot;002D1260&quot;/&gt;&lt;wsp:rsid wsp:val=&quot;002D4C5F&quot;/&gt;&lt;wsp:rsid wsp:val=&quot;002D539F&quot;/&gt;&lt;wsp:rsid wsp:val=&quot;002D7E56&quot;/&gt;&lt;wsp:rsid wsp:val=&quot;002D7FDD&quot;/&gt;&lt;wsp:rsid wsp:val=&quot;002E093C&quot;/&gt;&lt;wsp:rsid wsp:val=&quot;002E3BFD&quot;/&gt;&lt;wsp:rsid wsp:val=&quot;002E4BB8&quot;/&gt;&lt;wsp:rsid wsp:val=&quot;002E5DAD&quot;/&gt;&lt;wsp:rsid wsp:val=&quot;002F02E1&quot;/&gt;&lt;wsp:rsid wsp:val=&quot;002F50A3&quot;/&gt;&lt;wsp:rsid wsp:val=&quot;002F6A24&quot;/&gt;&lt;wsp:rsid wsp:val=&quot;0030699D&quot;/&gt;&lt;wsp:rsid wsp:val=&quot;00316794&quot;/&gt;&lt;wsp:rsid wsp:val=&quot;003171EF&quot;/&gt;&lt;wsp:rsid wsp:val=&quot;00320A79&quot;/&gt;&lt;wsp:rsid wsp:val=&quot;00323430&quot;/&gt;&lt;wsp:rsid wsp:val=&quot;00334AC9&quot;/&gt;&lt;wsp:rsid wsp:val=&quot;003458FF&quot;/&gt;&lt;wsp:rsid wsp:val=&quot;00345D37&quot;/&gt;&lt;wsp:rsid wsp:val=&quot;00353567&quot;/&gt;&lt;wsp:rsid wsp:val=&quot;00354F84&quot;/&gt;&lt;wsp:rsid wsp:val=&quot;003554BD&quot;/&gt;&lt;wsp:rsid wsp:val=&quot;00355961&quot;/&gt;&lt;wsp:rsid wsp:val=&quot;0036312F&quot;/&gt;&lt;wsp:rsid wsp:val=&quot;0036323E&quot;/&gt;&lt;wsp:rsid wsp:val=&quot;0036481D&quot;/&gt;&lt;wsp:rsid wsp:val=&quot;003662B4&quot;/&gt;&lt;wsp:rsid wsp:val=&quot;003726CB&quot;/&gt;&lt;wsp:rsid wsp:val=&quot;0037302B&quot;/&gt;&lt;wsp:rsid wsp:val=&quot;00375418&quot;/&gt;&lt;wsp:rsid wsp:val=&quot;00376D04&quot;/&gt;&lt;wsp:rsid wsp:val=&quot;00381D0F&quot;/&gt;&lt;wsp:rsid wsp:val=&quot;00382D4C&quot;/&gt;&lt;wsp:rsid wsp:val=&quot;00391B7E&quot;/&gt;&lt;wsp:rsid wsp:val=&quot;00393348&quot;/&gt;&lt;wsp:rsid wsp:val=&quot;003937A1&quot;/&gt;&lt;wsp:rsid wsp:val=&quot;00395FFC&quot;/&gt;&lt;wsp:rsid wsp:val=&quot;0039645A&quot;/&gt;&lt;wsp:rsid wsp:val=&quot;0039749A&quot;/&gt;&lt;wsp:rsid wsp:val=&quot;003A0A7B&quot;/&gt;&lt;wsp:rsid wsp:val=&quot;003A1A54&quot;/&gt;&lt;wsp:rsid wsp:val=&quot;003A4E3B&quot;/&gt;&lt;wsp:rsid wsp:val=&quot;003A62E6&quot;/&gt;&lt;wsp:rsid wsp:val=&quot;003A6670&quot;/&gt;&lt;wsp:rsid wsp:val=&quot;003A7C40&quot;/&gt;&lt;wsp:rsid wsp:val=&quot;003B1BF9&quot;/&gt;&lt;wsp:rsid wsp:val=&quot;003B2462&quot;/&gt;&lt;wsp:rsid wsp:val=&quot;003B361F&quot;/&gt;&lt;wsp:rsid wsp:val=&quot;003B3B22&quot;/&gt;&lt;wsp:rsid wsp:val=&quot;003B4336&quot;/&gt;&lt;wsp:rsid wsp:val=&quot;003B7773&quot;/&gt;&lt;wsp:rsid wsp:val=&quot;003C02C8&quot;/&gt;&lt;wsp:rsid wsp:val=&quot;003C3902&quot;/&gt;&lt;wsp:rsid wsp:val=&quot;003C56B6&quot;/&gt;&lt;wsp:rsid wsp:val=&quot;003C5CD4&quot;/&gt;&lt;wsp:rsid wsp:val=&quot;003D25FC&quot;/&gt;&lt;wsp:rsid wsp:val=&quot;003D6C3C&quot;/&gt;&lt;wsp:rsid wsp:val=&quot;003E1168&quot;/&gt;&lt;wsp:rsid wsp:val=&quot;003E14F1&quot;/&gt;&lt;wsp:rsid wsp:val=&quot;003E1F32&quot;/&gt;&lt;wsp:rsid wsp:val=&quot;003F0A41&quot;/&gt;&lt;wsp:rsid wsp:val=&quot;003F1056&quot;/&gt;&lt;wsp:rsid wsp:val=&quot;003F17A4&quot;/&gt;&lt;wsp:rsid wsp:val=&quot;003F505F&quot;/&gt;&lt;wsp:rsid wsp:val=&quot;003F69AC&quot;/&gt;&lt;wsp:rsid wsp:val=&quot;003F7C7C&quot;/&gt;&lt;wsp:rsid wsp:val=&quot;00402B94&quot;/&gt;&lt;wsp:rsid wsp:val=&quot;00402BB7&quot;/&gt;&lt;wsp:rsid wsp:val=&quot;004049FE&quot;/&gt;&lt;wsp:rsid wsp:val=&quot;004101B0&quot;/&gt;&lt;wsp:rsid wsp:val=&quot;004123CF&quot;/&gt;&lt;wsp:rsid wsp:val=&quot;00424DF0&quot;/&gt;&lt;wsp:rsid wsp:val=&quot;00425FEC&quot;/&gt;&lt;wsp:rsid wsp:val=&quot;00426E6E&quot;/&gt;&lt;wsp:rsid wsp:val=&quot;0042729A&quot;/&gt;&lt;wsp:rsid wsp:val=&quot;004327D9&quot;/&gt;&lt;wsp:rsid wsp:val=&quot;004340AE&quot;/&gt;&lt;wsp:rsid wsp:val=&quot;0043552F&quot;/&gt;&lt;wsp:rsid wsp:val=&quot;00443DFB&quot;/&gt;&lt;wsp:rsid wsp:val=&quot;00444518&quot;/&gt;&lt;wsp:rsid wsp:val=&quot;00444F91&quot;/&gt;&lt;wsp:rsid wsp:val=&quot;004471C0&quot;/&gt;&lt;wsp:rsid wsp:val=&quot;00447946&quot;/&gt;&lt;wsp:rsid wsp:val=&quot;004509CB&quot;/&gt;&lt;wsp:rsid wsp:val=&quot;00450B68&quot;/&gt;&lt;wsp:rsid wsp:val=&quot;00451163&quot;/&gt;&lt;wsp:rsid wsp:val=&quot;0045622E&quot;/&gt;&lt;wsp:rsid wsp:val=&quot;004611C0&quot;/&gt;&lt;wsp:rsid wsp:val=&quot;004647F7&quot;/&gt;&lt;wsp:rsid wsp:val=&quot;00465A73&quot;/&gt;&lt;wsp:rsid wsp:val=&quot;00466805&quot;/&gt;&lt;wsp:rsid wsp:val=&quot;00471E0D&quot;/&gt;&lt;wsp:rsid wsp:val=&quot;00472DDD&quot;/&gt;&lt;wsp:rsid wsp:val=&quot;00472EDE&quot;/&gt;&lt;wsp:rsid wsp:val=&quot;0047507D&quot;/&gt;&lt;wsp:rsid wsp:val=&quot;00475598&quot;/&gt;&lt;wsp:rsid wsp:val=&quot;00475967&quot;/&gt;&lt;wsp:rsid wsp:val=&quot;00476F5C&quot;/&gt;&lt;wsp:rsid wsp:val=&quot;00480009&quot;/&gt;&lt;wsp:rsid wsp:val=&quot;00486BB5&quot;/&gt;&lt;wsp:rsid wsp:val=&quot;004908AF&quot;/&gt;&lt;wsp:rsid wsp:val=&quot;004A2F5C&quot;/&gt;&lt;wsp:rsid wsp:val=&quot;004A4A7C&quot;/&gt;&lt;wsp:rsid wsp:val=&quot;004A4FC9&quot;/&gt;&lt;wsp:rsid wsp:val=&quot;004A653D&quot;/&gt;&lt;wsp:rsid wsp:val=&quot;004A7F44&quot;/&gt;&lt;wsp:rsid wsp:val=&quot;004B0AB6&quot;/&gt;&lt;wsp:rsid wsp:val=&quot;004B6F07&quot;/&gt;&lt;wsp:rsid wsp:val=&quot;004B74A5&quot;/&gt;&lt;wsp:rsid wsp:val=&quot;004C314F&quot;/&gt;&lt;wsp:rsid wsp:val=&quot;004D0CF6&quot;/&gt;&lt;wsp:rsid wsp:val=&quot;004D52EE&quot;/&gt;&lt;wsp:rsid wsp:val=&quot;004D7FB8&quot;/&gt;&lt;wsp:rsid wsp:val=&quot;004E2ABC&quot;/&gt;&lt;wsp:rsid wsp:val=&quot;004E2C19&quot;/&gt;&lt;wsp:rsid wsp:val=&quot;004E5A95&quot;/&gt;&lt;wsp:rsid wsp:val=&quot;004E6489&quot;/&gt;&lt;wsp:rsid wsp:val=&quot;004E78BA&quot;/&gt;&lt;wsp:rsid wsp:val=&quot;004F5C5D&quot;/&gt;&lt;wsp:rsid wsp:val=&quot;004F63D3&quot;/&gt;&lt;wsp:rsid wsp:val=&quot;004F7A5C&quot;/&gt;&lt;wsp:rsid wsp:val=&quot;00506737&quot;/&gt;&lt;wsp:rsid wsp:val=&quot;00507F65&quot;/&gt;&lt;wsp:rsid wsp:val=&quot;00507FFE&quot;/&gt;&lt;wsp:rsid wsp:val=&quot;00510ACF&quot;/&gt;&lt;wsp:rsid wsp:val=&quot;00517690&quot;/&gt;&lt;wsp:rsid wsp:val=&quot;00524BC8&quot;/&gt;&lt;wsp:rsid wsp:val=&quot;00524D52&quot;/&gt;&lt;wsp:rsid wsp:val=&quot;0053075A&quot;/&gt;&lt;wsp:rsid wsp:val=&quot;00532EDD&quot;/&gt;&lt;wsp:rsid wsp:val=&quot;005331DC&quot;/&gt;&lt;wsp:rsid wsp:val=&quot;005356D9&quot;/&gt;&lt;wsp:rsid wsp:val=&quot;00541062&quot;/&gt;&lt;wsp:rsid wsp:val=&quot;0054215A&quot;/&gt;&lt;wsp:rsid wsp:val=&quot;0054483B&quot;/&gt;&lt;wsp:rsid wsp:val=&quot;00553016&quot;/&gt;&lt;wsp:rsid wsp:val=&quot;0055567D&quot;/&gt;&lt;wsp:rsid wsp:val=&quot;00557E51&quot;/&gt;&lt;wsp:rsid wsp:val=&quot;0056180F&quot;/&gt;&lt;wsp:rsid wsp:val=&quot;00566022&quot;/&gt;&lt;wsp:rsid wsp:val=&quot;00566EC8&quot;/&gt;&lt;wsp:rsid wsp:val=&quot;0057075C&quot;/&gt;&lt;wsp:rsid wsp:val=&quot;00571829&quot;/&gt;&lt;wsp:rsid wsp:val=&quot;00575244&quot;/&gt;&lt;wsp:rsid wsp:val=&quot;00582653&quot;/&gt;&lt;wsp:rsid wsp:val=&quot;00583356&quot;/&gt;&lt;wsp:rsid wsp:val=&quot;00585671&quot;/&gt;&lt;wsp:rsid wsp:val=&quot;00587017&quot;/&gt;&lt;wsp:rsid wsp:val=&quot;005907E0&quot;/&gt;&lt;wsp:rsid wsp:val=&quot;0059729A&quot;/&gt;&lt;wsp:rsid wsp:val=&quot;00597DDC&quot;/&gt;&lt;wsp:rsid wsp:val=&quot;005A2953&quot;/&gt;&lt;wsp:rsid wsp:val=&quot;005A421B&quot;/&gt;&lt;wsp:rsid wsp:val=&quot;005A5F31&quot;/&gt;&lt;wsp:rsid wsp:val=&quot;005B50EC&quot;/&gt;&lt;wsp:rsid wsp:val=&quot;005B6AEA&quot;/&gt;&lt;wsp:rsid wsp:val=&quot;005C0945&quot;/&gt;&lt;wsp:rsid wsp:val=&quot;005C31CC&quot;/&gt;&lt;wsp:rsid wsp:val=&quot;005C383E&quot;/&gt;&lt;wsp:rsid wsp:val=&quot;005C3C7D&quot;/&gt;&lt;wsp:rsid wsp:val=&quot;005D17CC&quot;/&gt;&lt;wsp:rsid wsp:val=&quot;005D27B3&quot;/&gt;&lt;wsp:rsid wsp:val=&quot;005D784C&quot;/&gt;&lt;wsp:rsid wsp:val=&quot;005E17D2&quot;/&gt;&lt;wsp:rsid wsp:val=&quot;005E2FE9&quot;/&gt;&lt;wsp:rsid wsp:val=&quot;005E7B23&quot;/&gt;&lt;wsp:rsid wsp:val=&quot;005F0DF8&quot;/&gt;&lt;wsp:rsid wsp:val=&quot;005F141C&quot;/&gt;&lt;wsp:rsid wsp:val=&quot;005F2EB9&quot;/&gt;&lt;wsp:rsid wsp:val=&quot;005F3C18&quot;/&gt;&lt;wsp:rsid wsp:val=&quot;005F4C45&quot;/&gt;&lt;wsp:rsid wsp:val=&quot;005F6263&quot;/&gt;&lt;wsp:rsid wsp:val=&quot;006015B1&quot;/&gt;&lt;wsp:rsid wsp:val=&quot;00607C0C&quot;/&gt;&lt;wsp:rsid wsp:val=&quot;00607DD9&quot;/&gt;&lt;wsp:rsid wsp:val=&quot;00611704&quot;/&gt;&lt;wsp:rsid wsp:val=&quot;0061448F&quot;/&gt;&lt;wsp:rsid wsp:val=&quot;00616748&quot;/&gt;&lt;wsp:rsid wsp:val=&quot;00620B7E&quot;/&gt;&lt;wsp:rsid wsp:val=&quot;00624E28&quot;/&gt;&lt;wsp:rsid wsp:val=&quot;00634120&quot;/&gt;&lt;wsp:rsid wsp:val=&quot;006364D1&quot;/&gt;&lt;wsp:rsid wsp:val=&quot;006369DD&quot;/&gt;&lt;wsp:rsid wsp:val=&quot;0064698A&quot;/&gt;&lt;wsp:rsid wsp:val=&quot;00646A2B&quot;/&gt;&lt;wsp:rsid wsp:val=&quot;00646C6B&quot;/&gt;&lt;wsp:rsid wsp:val=&quot;00646C8A&quot;/&gt;&lt;wsp:rsid wsp:val=&quot;00650F9C&quot;/&gt;&lt;wsp:rsid wsp:val=&quot;006521B2&quot;/&gt;&lt;wsp:rsid wsp:val=&quot;006569AF&quot;/&gt;&lt;wsp:rsid wsp:val=&quot;00660A3F&quot;/&gt;&lt;wsp:rsid wsp:val=&quot;00660AC7&quot;/&gt;&lt;wsp:rsid wsp:val=&quot;00660BA4&quot;/&gt;&lt;wsp:rsid wsp:val=&quot;00661BA8&quot;/&gt;&lt;wsp:rsid wsp:val=&quot;00662C84&quot;/&gt;&lt;wsp:rsid wsp:val=&quot;00664543&quot;/&gt;&lt;wsp:rsid wsp:val=&quot;00664802&quot;/&gt;&lt;wsp:rsid wsp:val=&quot;00665F3E&quot;/&gt;&lt;wsp:rsid wsp:val=&quot;00675CC4&quot;/&gt;&lt;wsp:rsid wsp:val=&quot;00675FCE&quot;/&gt;&lt;wsp:rsid wsp:val=&quot;006761A7&quot;/&gt;&lt;wsp:rsid wsp:val=&quot;00680E57&quot;/&gt;&lt;wsp:rsid wsp:val=&quot;00682C98&quot;/&gt;&lt;wsp:rsid wsp:val=&quot;006871F1&quot;/&gt;&lt;wsp:rsid wsp:val=&quot;00697259&quot;/&gt;&lt;wsp:rsid wsp:val=&quot;006A36DB&quot;/&gt;&lt;wsp:rsid wsp:val=&quot;006A3D65&quot;/&gt;&lt;wsp:rsid wsp:val=&quot;006A432B&quot;/&gt;&lt;wsp:rsid wsp:val=&quot;006A6818&quot;/&gt;&lt;wsp:rsid wsp:val=&quot;006B0080&quot;/&gt;&lt;wsp:rsid wsp:val=&quot;006B1451&quot;/&gt;&lt;wsp:rsid wsp:val=&quot;006B1DDC&quot;/&gt;&lt;wsp:rsid wsp:val=&quot;006B26C5&quot;/&gt;&lt;wsp:rsid wsp:val=&quot;006B5C33&quot;/&gt;&lt;wsp:rsid wsp:val=&quot;006B7A8D&quot;/&gt;&lt;wsp:rsid wsp:val=&quot;006B7EC4&quot;/&gt;&lt;wsp:rsid wsp:val=&quot;006C1191&quot;/&gt;&lt;wsp:rsid wsp:val=&quot;006C4239&quot;/&gt;&lt;wsp:rsid wsp:val=&quot;006D0547&quot;/&gt;&lt;wsp:rsid wsp:val=&quot;006D5E04&quot;/&gt;&lt;wsp:rsid wsp:val=&quot;006D69C8&quot;/&gt;&lt;wsp:rsid wsp:val=&quot;006E3E0C&quot;/&gt;&lt;wsp:rsid wsp:val=&quot;006E54A6&quot;/&gt;&lt;wsp:rsid wsp:val=&quot;006E68A1&quot;/&gt;&lt;wsp:rsid wsp:val=&quot;006F0ECA&quot;/&gt;&lt;wsp:rsid wsp:val=&quot;006F466B&quot;/&gt;&lt;wsp:rsid wsp:val=&quot;006F4C25&quot;/&gt;&lt;wsp:rsid wsp:val=&quot;006F7431&quot;/&gt;&lt;wsp:rsid wsp:val=&quot;00704B4D&quot;/&gt;&lt;wsp:rsid wsp:val=&quot;007062F1&quot;/&gt;&lt;wsp:rsid wsp:val=&quot;00722214&quot;/&gt;&lt;wsp:rsid wsp:val=&quot;00731021&quot;/&gt;&lt;wsp:rsid wsp:val=&quot;00731537&quot;/&gt;&lt;wsp:rsid wsp:val=&quot;00732028&quot;/&gt;&lt;wsp:rsid wsp:val=&quot;00732567&quot;/&gt;&lt;wsp:rsid wsp:val=&quot;007330AF&quot;/&gt;&lt;wsp:rsid wsp:val=&quot;00733464&quot;/&gt;&lt;wsp:rsid wsp:val=&quot;00736EBE&quot;/&gt;&lt;wsp:rsid wsp:val=&quot;007406FB&quot;/&gt;&lt;wsp:rsid wsp:val=&quot;00740774&quot;/&gt;&lt;wsp:rsid wsp:val=&quot;00744471&quot;/&gt;&lt;wsp:rsid wsp:val=&quot;0074454B&quot;/&gt;&lt;wsp:rsid wsp:val=&quot;007456C2&quot;/&gt;&lt;wsp:rsid wsp:val=&quot;00750A7C&quot;/&gt;&lt;wsp:rsid wsp:val=&quot;00750E5F&quot;/&gt;&lt;wsp:rsid wsp:val=&quot;00750E70&quot;/&gt;&lt;wsp:rsid wsp:val=&quot;00751B8F&quot;/&gt;&lt;wsp:rsid wsp:val=&quot;00755D78&quot;/&gt;&lt;wsp:rsid wsp:val=&quot;00756549&quot;/&gt;&lt;wsp:rsid wsp:val=&quot;00756B1B&quot;/&gt;&lt;wsp:rsid wsp:val=&quot;00761CA4&quot;/&gt;&lt;wsp:rsid wsp:val=&quot;007653CC&quot;/&gt;&lt;wsp:rsid wsp:val=&quot;00770C11&quot;/&gt;&lt;wsp:rsid wsp:val=&quot;00771029&quot;/&gt;&lt;wsp:rsid wsp:val=&quot;00772EBC&quot;/&gt;&lt;wsp:rsid wsp:val=&quot;00777A21&quot;/&gt;&lt;wsp:rsid wsp:val=&quot;00777CAB&quot;/&gt;&lt;wsp:rsid wsp:val=&quot;00780D73&quot;/&gt;&lt;wsp:rsid wsp:val=&quot;0078590C&quot;/&gt;&lt;wsp:rsid wsp:val=&quot;00786100&quot;/&gt;&lt;wsp:rsid wsp:val=&quot;007875A4&quot;/&gt;&lt;wsp:rsid wsp:val=&quot;00791D3C&quot;/&gt;&lt;wsp:rsid wsp:val=&quot;0079348E&quot;/&gt;&lt;wsp:rsid wsp:val=&quot;00794464&quot;/&gt;&lt;wsp:rsid wsp:val=&quot;00797158&quot;/&gt;&lt;wsp:rsid wsp:val=&quot;007A0D33&quot;/&gt;&lt;wsp:rsid wsp:val=&quot;007A1C74&quot;/&gt;&lt;wsp:rsid wsp:val=&quot;007A30BC&quot;/&gt;&lt;wsp:rsid wsp:val=&quot;007A61E1&quot;/&gt;&lt;wsp:rsid wsp:val=&quot;007A6277&quot;/&gt;&lt;wsp:rsid wsp:val=&quot;007B0E32&quot;/&gt;&lt;wsp:rsid wsp:val=&quot;007B1A31&quot;/&gt;&lt;wsp:rsid wsp:val=&quot;007B3E64&quot;/&gt;&lt;wsp:rsid wsp:val=&quot;007B647F&quot;/&gt;&lt;wsp:rsid wsp:val=&quot;007B6DA9&quot;/&gt;&lt;wsp:rsid wsp:val=&quot;007C1E00&quot;/&gt;&lt;wsp:rsid wsp:val=&quot;007C434E&quot;/&gt;&lt;wsp:rsid wsp:val=&quot;007C71C9&quot;/&gt;&lt;wsp:rsid wsp:val=&quot;007D1E51&quot;/&gt;&lt;wsp:rsid wsp:val=&quot;007D1EED&quot;/&gt;&lt;wsp:rsid wsp:val=&quot;007D4A2D&quot;/&gt;&lt;wsp:rsid wsp:val=&quot;007D57FB&quot;/&gt;&lt;wsp:rsid wsp:val=&quot;007D7570&quot;/&gt;&lt;wsp:rsid wsp:val=&quot;007E0E44&quot;/&gt;&lt;wsp:rsid wsp:val=&quot;007E365D&quot;/&gt;&lt;wsp:rsid wsp:val=&quot;007E5406&quot;/&gt;&lt;wsp:rsid wsp:val=&quot;007F09B5&quot;/&gt;&lt;wsp:rsid wsp:val=&quot;007F0A81&quot;/&gt;&lt;wsp:rsid wsp:val=&quot;007F18BA&quot;/&gt;&lt;wsp:rsid wsp:val=&quot;007F3627&quot;/&gt;&lt;wsp:rsid wsp:val=&quot;008073A9&quot;/&gt;&lt;wsp:rsid wsp:val=&quot;00811788&quot;/&gt;&lt;wsp:rsid wsp:val=&quot;00812F77&quot;/&gt;&lt;wsp:rsid wsp:val=&quot;00816328&quot;/&gt;&lt;wsp:rsid wsp:val=&quot;00820505&quot;/&gt;&lt;wsp:rsid wsp:val=&quot;00822266&quot;/&gt;&lt;wsp:rsid wsp:val=&quot;0082268B&quot;/&gt;&lt;wsp:rsid wsp:val=&quot;0082448E&quot;/&gt;&lt;wsp:rsid wsp:val=&quot;008266AC&quot;/&gt;&lt;wsp:rsid wsp:val=&quot;00826F9F&quot;/&gt;&lt;wsp:rsid wsp:val=&quot;008274C3&quot;/&gt;&lt;wsp:rsid wsp:val=&quot;008365F0&quot;/&gt;&lt;wsp:rsid wsp:val=&quot;00836DE2&quot;/&gt;&lt;wsp:rsid wsp:val=&quot;0083735C&quot;/&gt;&lt;wsp:rsid wsp:val=&quot;00842D1C&quot;/&gt;&lt;wsp:rsid wsp:val=&quot;00843259&quot;/&gt;&lt;wsp:rsid wsp:val=&quot;008449CC&quot;/&gt;&lt;wsp:rsid wsp:val=&quot;00851E2E&quot;/&gt;&lt;wsp:rsid wsp:val=&quot;008520AE&quot;/&gt;&lt;wsp:rsid wsp:val=&quot;00853ACC&quot;/&gt;&lt;wsp:rsid wsp:val=&quot;00854CDF&quot;/&gt;&lt;wsp:rsid wsp:val=&quot;00854D28&quot;/&gt;&lt;wsp:rsid wsp:val=&quot;00855EE5&quot;/&gt;&lt;wsp:rsid wsp:val=&quot;0086395A&quot;/&gt;&lt;wsp:rsid wsp:val=&quot;00864BE1&quot;/&gt;&lt;wsp:rsid wsp:val=&quot;008721D3&quot;/&gt;&lt;wsp:rsid wsp:val=&quot;008725C1&quot;/&gt;&lt;wsp:rsid wsp:val=&quot;00873380&quot;/&gt;&lt;wsp:rsid wsp:val=&quot;00874906&quot;/&gt;&lt;wsp:rsid wsp:val=&quot;00890B26&quot;/&gt;&lt;wsp:rsid wsp:val=&quot;00895642&quot;/&gt;&lt;wsp:rsid wsp:val=&quot;00896E93&quot;/&gt;&lt;wsp:rsid wsp:val=&quot;00896FA4&quot;/&gt;&lt;wsp:rsid wsp:val=&quot;008A2836&quot;/&gt;&lt;wsp:rsid wsp:val=&quot;008A3EE1&quot;/&gt;&lt;wsp:rsid wsp:val=&quot;008A581D&quot;/&gt;&lt;wsp:rsid wsp:val=&quot;008B01F4&quot;/&gt;&lt;wsp:rsid wsp:val=&quot;008B5339&quot;/&gt;&lt;wsp:rsid wsp:val=&quot;008B7E2E&quot;/&gt;&lt;wsp:rsid wsp:val=&quot;008C6A52&quot;/&gt;&lt;wsp:rsid wsp:val=&quot;008C7EB7&quot;/&gt;&lt;wsp:rsid wsp:val=&quot;008D292C&quot;/&gt;&lt;wsp:rsid wsp:val=&quot;008D3C90&quot;/&gt;&lt;wsp:rsid wsp:val=&quot;008D5BC9&quot;/&gt;&lt;wsp:rsid wsp:val=&quot;008D68E0&quot;/&gt;&lt;wsp:rsid wsp:val=&quot;008E3665&quot;/&gt;&lt;wsp:rsid wsp:val=&quot;008E52E0&quot;/&gt;&lt;wsp:rsid wsp:val=&quot;008E6A2C&quot;/&gt;&lt;wsp:rsid wsp:val=&quot;008F1B16&quot;/&gt;&lt;wsp:rsid wsp:val=&quot;008F3BC4&quot;/&gt;&lt;wsp:rsid wsp:val=&quot;008F599B&quot;/&gt;&lt;wsp:rsid wsp:val=&quot;00901CCF&quot;/&gt;&lt;wsp:rsid wsp:val=&quot;009032D2&quot;/&gt;&lt;wsp:rsid wsp:val=&quot;0090730F&quot;/&gt;&lt;wsp:rsid wsp:val=&quot;0090764B&quot;/&gt;&lt;wsp:rsid wsp:val=&quot;00910EF3&quot;/&gt;&lt;wsp:rsid wsp:val=&quot;009147A5&quot;/&gt;&lt;wsp:rsid wsp:val=&quot;00917E33&quot;/&gt;&lt;wsp:rsid wsp:val=&quot;0092109C&quot;/&gt;&lt;wsp:rsid wsp:val=&quot;00922D14&quot;/&gt;&lt;wsp:rsid wsp:val=&quot;009238A2&quot;/&gt;&lt;wsp:rsid wsp:val=&quot;00925A39&quot;/&gt;&lt;wsp:rsid wsp:val=&quot;00926433&quot;/&gt;&lt;wsp:rsid wsp:val=&quot;00933666&quot;/&gt;&lt;wsp:rsid wsp:val=&quot;00934372&quot;/&gt;&lt;wsp:rsid wsp:val=&quot;00940C1B&quot;/&gt;&lt;wsp:rsid wsp:val=&quot;00941124&quot;/&gt;&lt;wsp:rsid wsp:val=&quot;00941DD4&quot;/&gt;&lt;wsp:rsid wsp:val=&quot;00942CCC&quot;/&gt;&lt;wsp:rsid wsp:val=&quot;00944992&quot;/&gt;&lt;wsp:rsid wsp:val=&quot;009468BE&quot;/&gt;&lt;wsp:rsid wsp:val=&quot;009475A6&quot;/&gt;&lt;wsp:rsid wsp:val=&quot;0095146A&quot;/&gt;&lt;wsp:rsid wsp:val=&quot;00951DD6&quot;/&gt;&lt;wsp:rsid wsp:val=&quot;00952AA3&quot;/&gt;&lt;wsp:rsid wsp:val=&quot;00953D13&quot;/&gt;&lt;wsp:rsid wsp:val=&quot;0095450D&quot;/&gt;&lt;wsp:rsid wsp:val=&quot;009550A6&quot;/&gt;&lt;wsp:rsid wsp:val=&quot;00956272&quot;/&gt;&lt;wsp:rsid wsp:val=&quot;0096595A&quot;/&gt;&lt;wsp:rsid wsp:val=&quot;00967304&quot;/&gt;&lt;wsp:rsid wsp:val=&quot;00970887&quot;/&gt;&lt;wsp:rsid wsp:val=&quot;009715BA&quot;/&gt;&lt;wsp:rsid wsp:val=&quot;00972099&quot;/&gt;&lt;wsp:rsid wsp:val=&quot;00972267&quot;/&gt;&lt;wsp:rsid wsp:val=&quot;0097737F&quot;/&gt;&lt;wsp:rsid wsp:val=&quot;0098085A&quot;/&gt;&lt;wsp:rsid wsp:val=&quot;00982905&quot;/&gt;&lt;wsp:rsid wsp:val=&quot;00982E28&quot;/&gt;&lt;wsp:rsid wsp:val=&quot;0098650F&quot;/&gt;&lt;wsp:rsid wsp:val=&quot;00991B57&quot;/&gt;&lt;wsp:rsid wsp:val=&quot;00992434&quot;/&gt;&lt;wsp:rsid wsp:val=&quot;009A0EE3&quot;/&gt;&lt;wsp:rsid wsp:val=&quot;009A2193&quot;/&gt;&lt;wsp:rsid wsp:val=&quot;009A23BA&quot;/&gt;&lt;wsp:rsid wsp:val=&quot;009A4E64&quot;/&gt;&lt;wsp:rsid wsp:val=&quot;009A6237&quot;/&gt;&lt;wsp:rsid wsp:val=&quot;009A7634&quot;/&gt;&lt;wsp:rsid wsp:val=&quot;009B1BD1&quot;/&gt;&lt;wsp:rsid wsp:val=&quot;009B2A4D&quot;/&gt;&lt;wsp:rsid wsp:val=&quot;009B536D&quot;/&gt;&lt;wsp:rsid wsp:val=&quot;009B5661&quot;/&gt;&lt;wsp:rsid wsp:val=&quot;009B568A&quot;/&gt;&lt;wsp:rsid wsp:val=&quot;009B67D9&quot;/&gt;&lt;wsp:rsid wsp:val=&quot;009C0F42&quot;/&gt;&lt;wsp:rsid wsp:val=&quot;009C3060&quot;/&gt;&lt;wsp:rsid wsp:val=&quot;009C4827&quot;/&gt;&lt;wsp:rsid wsp:val=&quot;009C5992&quot;/&gt;&lt;wsp:rsid wsp:val=&quot;009C798D&quot;/&gt;&lt;wsp:rsid wsp:val=&quot;009C79E1&quot;/&gt;&lt;wsp:rsid wsp:val=&quot;009D1CD6&quot;/&gt;&lt;wsp:rsid wsp:val=&quot;009D7515&quot;/&gt;&lt;wsp:rsid wsp:val=&quot;009E2F04&quot;/&gt;&lt;wsp:rsid wsp:val=&quot;009E71F9&quot;/&gt;&lt;wsp:rsid wsp:val=&quot;009F34C1&quot;/&gt;&lt;wsp:rsid wsp:val=&quot;00A07A84&quot;/&gt;&lt;wsp:rsid wsp:val=&quot;00A12A1D&quot;/&gt;&lt;wsp:rsid wsp:val=&quot;00A13F78&quot;/&gt;&lt;wsp:rsid wsp:val=&quot;00A15635&quot;/&gt;&lt;wsp:rsid wsp:val=&quot;00A17C28&quot;/&gt;&lt;wsp:rsid wsp:val=&quot;00A20602&quot;/&gt;&lt;wsp:rsid wsp:val=&quot;00A21FF6&quot;/&gt;&lt;wsp:rsid wsp:val=&quot;00A247B6&quot;/&gt;&lt;wsp:rsid wsp:val=&quot;00A25D9C&quot;/&gt;&lt;wsp:rsid wsp:val=&quot;00A31138&quot;/&gt;&lt;wsp:rsid wsp:val=&quot;00A36D8C&quot;/&gt;&lt;wsp:rsid wsp:val=&quot;00A41E48&quot;/&gt;&lt;wsp:rsid wsp:val=&quot;00A53453&quot;/&gt;&lt;wsp:rsid wsp:val=&quot;00A550FD&quot;/&gt;&lt;wsp:rsid wsp:val=&quot;00A57D3A&quot;/&gt;&lt;wsp:rsid wsp:val=&quot;00A6000E&quot;/&gt;&lt;wsp:rsid wsp:val=&quot;00A60C74&quot;/&gt;&lt;wsp:rsid wsp:val=&quot;00A61AE3&quot;/&gt;&lt;wsp:rsid wsp:val=&quot;00A71292&quot;/&gt;&lt;wsp:rsid wsp:val=&quot;00A723E2&quot;/&gt;&lt;wsp:rsid wsp:val=&quot;00A72491&quot;/&gt;&lt;wsp:rsid wsp:val=&quot;00A75D85&quot;/&gt;&lt;wsp:rsid wsp:val=&quot;00A766FC&quot;/&gt;&lt;wsp:rsid wsp:val=&quot;00A77B57&quot;/&gt;&lt;wsp:rsid wsp:val=&quot;00A83A0F&quot;/&gt;&lt;wsp:rsid wsp:val=&quot;00A864F0&quot;/&gt;&lt;wsp:rsid wsp:val=&quot;00A90F49&quot;/&gt;&lt;wsp:rsid wsp:val=&quot;00A947EC&quot;/&gt;&lt;wsp:rsid wsp:val=&quot;00A9494B&quot;/&gt;&lt;wsp:rsid wsp:val=&quot;00A97758&quot;/&gt;&lt;wsp:rsid wsp:val=&quot;00AA355B&quot;/&gt;&lt;wsp:rsid wsp:val=&quot;00AA6949&quot;/&gt;&lt;wsp:rsid wsp:val=&quot;00AB13CA&quot;/&gt;&lt;wsp:rsid wsp:val=&quot;00AB5E6E&quot;/&gt;&lt;wsp:rsid wsp:val=&quot;00AB64B6&quot;/&gt;&lt;wsp:rsid wsp:val=&quot;00AB6F9E&quot;/&gt;&lt;wsp:rsid wsp:val=&quot;00AC5FE2&quot;/&gt;&lt;wsp:rsid wsp:val=&quot;00AD1E91&quot;/&gt;&lt;wsp:rsid wsp:val=&quot;00AD2638&quot;/&gt;&lt;wsp:rsid wsp:val=&quot;00AE0A42&quot;/&gt;&lt;wsp:rsid wsp:val=&quot;00AE1C6D&quot;/&gt;&lt;wsp:rsid wsp:val=&quot;00AE2692&quot;/&gt;&lt;wsp:rsid wsp:val=&quot;00AE2EBE&quot;/&gt;&lt;wsp:rsid wsp:val=&quot;00AE344C&quot;/&gt;&lt;wsp:rsid wsp:val=&quot;00AE6ED2&quot;/&gt;&lt;wsp:rsid wsp:val=&quot;00AE730F&quot;/&gt;&lt;wsp:rsid wsp:val=&quot;00AF0488&quot;/&gt;&lt;wsp:rsid wsp:val=&quot;00AF4D5A&quot;/&gt;&lt;wsp:rsid wsp:val=&quot;00B01079&quot;/&gt;&lt;wsp:rsid wsp:val=&quot;00B02745&quot;/&gt;&lt;wsp:rsid wsp:val=&quot;00B035A7&quot;/&gt;&lt;wsp:rsid wsp:val=&quot;00B055B6&quot;/&gt;&lt;wsp:rsid wsp:val=&quot;00B0641F&quot;/&gt;&lt;wsp:rsid wsp:val=&quot;00B163AD&quot;/&gt;&lt;wsp:rsid wsp:val=&quot;00B3257C&quot;/&gt;&lt;wsp:rsid wsp:val=&quot;00B33038&quot;/&gt;&lt;wsp:rsid wsp:val=&quot;00B35511&quot;/&gt;&lt;wsp:rsid wsp:val=&quot;00B35AF8&quot;/&gt;&lt;wsp:rsid wsp:val=&quot;00B4245C&quot;/&gt;&lt;wsp:rsid wsp:val=&quot;00B4636F&quot;/&gt;&lt;wsp:rsid wsp:val=&quot;00B50B08&quot;/&gt;&lt;wsp:rsid wsp:val=&quot;00B53A9E&quot;/&gt;&lt;wsp:rsid wsp:val=&quot;00B54339&quot;/&gt;&lt;wsp:rsid wsp:val=&quot;00B55A42&quot;/&gt;&lt;wsp:rsid wsp:val=&quot;00B55B5E&quot;/&gt;&lt;wsp:rsid wsp:val=&quot;00B626B3&quot;/&gt;&lt;wsp:rsid wsp:val=&quot;00B628D0&quot;/&gt;&lt;wsp:rsid wsp:val=&quot;00B65FA4&quot;/&gt;&lt;wsp:rsid wsp:val=&quot;00B70BB2&quot;/&gt;&lt;wsp:rsid wsp:val=&quot;00B71893&quot;/&gt;&lt;wsp:rsid wsp:val=&quot;00B72FAD&quot;/&gt;&lt;wsp:rsid wsp:val=&quot;00B7344B&quot;/&gt;&lt;wsp:rsid wsp:val=&quot;00B73AA7&quot;/&gt;&lt;wsp:rsid wsp:val=&quot;00B74F3E&quot;/&gt;&lt;wsp:rsid wsp:val=&quot;00B76945&quot;/&gt;&lt;wsp:rsid wsp:val=&quot;00B82EDA&quot;/&gt;&lt;wsp:rsid wsp:val=&quot;00B83599&quot;/&gt;&lt;wsp:rsid wsp:val=&quot;00B839FB&quot;/&gt;&lt;wsp:rsid wsp:val=&quot;00B848F4&quot;/&gt;&lt;wsp:rsid wsp:val=&quot;00B91901&quot;/&gt;&lt;wsp:rsid wsp:val=&quot;00B93E16&quot;/&gt;&lt;wsp:rsid wsp:val=&quot;00B93E73&quot;/&gt;&lt;wsp:rsid wsp:val=&quot;00BA1288&quot;/&gt;&lt;wsp:rsid wsp:val=&quot;00BA4026&quot;/&gt;&lt;wsp:rsid wsp:val=&quot;00BA41AA&quot;/&gt;&lt;wsp:rsid wsp:val=&quot;00BA51EE&quot;/&gt;&lt;wsp:rsid wsp:val=&quot;00BA70D4&quot;/&gt;&lt;wsp:rsid wsp:val=&quot;00BB1BFE&quot;/&gt;&lt;wsp:rsid wsp:val=&quot;00BB474A&quot;/&gt;&lt;wsp:rsid wsp:val=&quot;00BC0E31&quot;/&gt;&lt;wsp:rsid wsp:val=&quot;00BC3F8A&quot;/&gt;&lt;wsp:rsid wsp:val=&quot;00BC6430&quot;/&gt;&lt;wsp:rsid wsp:val=&quot;00BC66E2&quot;/&gt;&lt;wsp:rsid wsp:val=&quot;00BD156F&quot;/&gt;&lt;wsp:rsid wsp:val=&quot;00BE4D84&quot;/&gt;&lt;wsp:rsid wsp:val=&quot;00BE5C0C&quot;/&gt;&lt;wsp:rsid wsp:val=&quot;00BE7443&quot;/&gt;&lt;wsp:rsid wsp:val=&quot;00BF2A22&quot;/&gt;&lt;wsp:rsid wsp:val=&quot;00BF58FC&quot;/&gt;&lt;wsp:rsid wsp:val=&quot;00C01D73&quot;/&gt;&lt;wsp:rsid wsp:val=&quot;00C02ED6&quot;/&gt;&lt;wsp:rsid wsp:val=&quot;00C11E90&quot;/&gt;&lt;wsp:rsid wsp:val=&quot;00C13D4E&quot;/&gt;&lt;wsp:rsid wsp:val=&quot;00C1590D&quot;/&gt;&lt;wsp:rsid wsp:val=&quot;00C2337D&quot;/&gt;&lt;wsp:rsid wsp:val=&quot;00C23F1B&quot;/&gt;&lt;wsp:rsid wsp:val=&quot;00C306A4&quot;/&gt;&lt;wsp:rsid wsp:val=&quot;00C30998&quot;/&gt;&lt;wsp:rsid wsp:val=&quot;00C30B7B&quot;/&gt;&lt;wsp:rsid wsp:val=&quot;00C325D7&quot;/&gt;&lt;wsp:rsid wsp:val=&quot;00C37561&quot;/&gt;&lt;wsp:rsid wsp:val=&quot;00C4024D&quot;/&gt;&lt;wsp:rsid wsp:val=&quot;00C40F0A&quot;/&gt;&lt;wsp:rsid wsp:val=&quot;00C43F7D&quot;/&gt;&lt;wsp:rsid wsp:val=&quot;00C44277&quot;/&gt;&lt;wsp:rsid wsp:val=&quot;00C464B3&quot;/&gt;&lt;wsp:rsid wsp:val=&quot;00C55411&quot;/&gt;&lt;wsp:rsid wsp:val=&quot;00C56000&quot;/&gt;&lt;wsp:rsid wsp:val=&quot;00C56C82&quot;/&gt;&lt;wsp:rsid wsp:val=&quot;00C60369&quot;/&gt;&lt;wsp:rsid wsp:val=&quot;00C632A0&quot;/&gt;&lt;wsp:rsid wsp:val=&quot;00C64849&quot;/&gt;&lt;wsp:rsid wsp:val=&quot;00C7120E&quot;/&gt;&lt;wsp:rsid wsp:val=&quot;00C7151C&quot;/&gt;&lt;wsp:rsid wsp:val=&quot;00C773C2&quot;/&gt;&lt;wsp:rsid wsp:val=&quot;00C80225&quot;/&gt;&lt;wsp:rsid wsp:val=&quot;00C81504&quot;/&gt;&lt;wsp:rsid wsp:val=&quot;00C83693&quot;/&gt;&lt;wsp:rsid wsp:val=&quot;00C83CA2&quot;/&gt;&lt;wsp:rsid wsp:val=&quot;00C8605D&quot;/&gt;&lt;wsp:rsid wsp:val=&quot;00C869C3&quot;/&gt;&lt;wsp:rsid wsp:val=&quot;00C87064&quot;/&gt;&lt;wsp:rsid wsp:val=&quot;00C87BA0&quot;/&gt;&lt;wsp:rsid wsp:val=&quot;00C901CF&quot;/&gt;&lt;wsp:rsid wsp:val=&quot;00C91576&quot;/&gt;&lt;wsp:rsid wsp:val=&quot;00C93C20&quot;/&gt;&lt;wsp:rsid wsp:val=&quot;00C94581&quot;/&gt;&lt;wsp:rsid wsp:val=&quot;00C96493&quot;/&gt;&lt;wsp:rsid wsp:val=&quot;00CA3078&quot;/&gt;&lt;wsp:rsid wsp:val=&quot;00CA3DA3&quot;/&gt;&lt;wsp:rsid wsp:val=&quot;00CA4BF2&quot;/&gt;&lt;wsp:rsid wsp:val=&quot;00CA6137&quot;/&gt;&lt;wsp:rsid wsp:val=&quot;00CB4628&quot;/&gt;&lt;wsp:rsid wsp:val=&quot;00CC2FE0&quot;/&gt;&lt;wsp:rsid wsp:val=&quot;00CC77D9&quot;/&gt;&lt;wsp:rsid wsp:val=&quot;00CD2F1F&quot;/&gt;&lt;wsp:rsid wsp:val=&quot;00CD3006&quot;/&gt;&lt;wsp:rsid wsp:val=&quot;00CD4C5E&quot;/&gt;&lt;wsp:rsid wsp:val=&quot;00CE161B&quot;/&gt;&lt;wsp:rsid wsp:val=&quot;00CE276B&quot;/&gt;&lt;wsp:rsid wsp:val=&quot;00CE4965&quot;/&gt;&lt;wsp:rsid wsp:val=&quot;00CE70F6&quot;/&gt;&lt;wsp:rsid wsp:val=&quot;00CE7EE9&quot;/&gt;&lt;wsp:rsid wsp:val=&quot;00CF4FAF&quot;/&gt;&lt;wsp:rsid wsp:val=&quot;00CF66D8&quot;/&gt;&lt;wsp:rsid wsp:val=&quot;00D00AFC&quot;/&gt;&lt;wsp:rsid wsp:val=&quot;00D00DF2&quot;/&gt;&lt;wsp:rsid wsp:val=&quot;00D027B2&quot;/&gt;&lt;wsp:rsid wsp:val=&quot;00D04074&quot;/&gt;&lt;wsp:rsid wsp:val=&quot;00D04729&quot;/&gt;&lt;wsp:rsid wsp:val=&quot;00D04CA0&quot;/&gt;&lt;wsp:rsid wsp:val=&quot;00D07CFD&quot;/&gt;&lt;wsp:rsid wsp:val=&quot;00D133A2&quot;/&gt;&lt;wsp:rsid wsp:val=&quot;00D13CEE&quot;/&gt;&lt;wsp:rsid wsp:val=&quot;00D17C23&quot;/&gt;&lt;wsp:rsid wsp:val=&quot;00D17E46&quot;/&gt;&lt;wsp:rsid wsp:val=&quot;00D218C5&quot;/&gt;&lt;wsp:rsid wsp:val=&quot;00D21AE1&quot;/&gt;&lt;wsp:rsid wsp:val=&quot;00D23DBA&quot;/&gt;&lt;wsp:rsid wsp:val=&quot;00D270C8&quot;/&gt;&lt;wsp:rsid wsp:val=&quot;00D322F9&quot;/&gt;&lt;wsp:rsid wsp:val=&quot;00D36B45&quot;/&gt;&lt;wsp:rsid wsp:val=&quot;00D41B93&quot;/&gt;&lt;wsp:rsid wsp:val=&quot;00D42A9D&quot;/&gt;&lt;wsp:rsid wsp:val=&quot;00D44433&quot;/&gt;&lt;wsp:rsid wsp:val=&quot;00D47F62&quot;/&gt;&lt;wsp:rsid wsp:val=&quot;00D56A5E&quot;/&gt;&lt;wsp:rsid wsp:val=&quot;00D57CCC&quot;/&gt;&lt;wsp:rsid wsp:val=&quot;00D639E1&quot;/&gt;&lt;wsp:rsid wsp:val=&quot;00D6724C&quot;/&gt;&lt;wsp:rsid wsp:val=&quot;00D6783F&quot;/&gt;&lt;wsp:rsid wsp:val=&quot;00D70C2D&quot;/&gt;&lt;wsp:rsid wsp:val=&quot;00D70F35&quot;/&gt;&lt;wsp:rsid wsp:val=&quot;00D71F49&quot;/&gt;&lt;wsp:rsid wsp:val=&quot;00D734CB&quot;/&gt;&lt;wsp:rsid wsp:val=&quot;00D76467&quot;/&gt;&lt;wsp:rsid wsp:val=&quot;00D7696A&quot;/&gt;&lt;wsp:rsid wsp:val=&quot;00D77AEB&quot;/&gt;&lt;wsp:rsid wsp:val=&quot;00D80854&quot;/&gt;&lt;wsp:rsid wsp:val=&quot;00D87DAC&quot;/&gt;&lt;wsp:rsid wsp:val=&quot;00D918D2&quot;/&gt;&lt;wsp:rsid wsp:val=&quot;00D91E6C&quot;/&gt;&lt;wsp:rsid wsp:val=&quot;00D95336&quot;/&gt;&lt;wsp:rsid wsp:val=&quot;00D95599&quot;/&gt;&lt;wsp:rsid wsp:val=&quot;00D967AF&quot;/&gt;&lt;wsp:rsid wsp:val=&quot;00D9707A&quot;/&gt;&lt;wsp:rsid wsp:val=&quot;00D9748C&quot;/&gt;&lt;wsp:rsid wsp:val=&quot;00D97FD9&quot;/&gt;&lt;wsp:rsid wsp:val=&quot;00DA57CB&quot;/&gt;&lt;wsp:rsid wsp:val=&quot;00DA7BAF&quot;/&gt;&lt;wsp:rsid wsp:val=&quot;00DB26C1&quot;/&gt;&lt;wsp:rsid wsp:val=&quot;00DB75E4&quot;/&gt;&lt;wsp:rsid wsp:val=&quot;00DB77F2&quot;/&gt;&lt;wsp:rsid wsp:val=&quot;00DC24F9&quot;/&gt;&lt;wsp:rsid wsp:val=&quot;00DC33A8&quot;/&gt;&lt;wsp:rsid wsp:val=&quot;00DC36C2&quot;/&gt;&lt;wsp:rsid wsp:val=&quot;00DC4297&quot;/&gt;&lt;wsp:rsid wsp:val=&quot;00DC4F9C&quot;/&gt;&lt;wsp:rsid wsp:val=&quot;00DC502B&quot;/&gt;&lt;wsp:rsid wsp:val=&quot;00DC5394&quot;/&gt;&lt;wsp:rsid wsp:val=&quot;00DC556C&quot;/&gt;&lt;wsp:rsid wsp:val=&quot;00DD106C&quot;/&gt;&lt;wsp:rsid wsp:val=&quot;00DD1DB2&quot;/&gt;&lt;wsp:rsid wsp:val=&quot;00DD6228&quot;/&gt;&lt;wsp:rsid wsp:val=&quot;00DE1001&quot;/&gt;&lt;wsp:rsid wsp:val=&quot;00DE1769&quot;/&gt;&lt;wsp:rsid wsp:val=&quot;00DE1E25&quot;/&gt;&lt;wsp:rsid wsp:val=&quot;00DE41EF&quot;/&gt;&lt;wsp:rsid wsp:val=&quot;00DE479C&quot;/&gt;&lt;wsp:rsid wsp:val=&quot;00DF6CB1&quot;/&gt;&lt;wsp:rsid wsp:val=&quot;00E0077A&quot;/&gt;&lt;wsp:rsid wsp:val=&quot;00E07034&quot;/&gt;&lt;wsp:rsid wsp:val=&quot;00E105A7&quot;/&gt;&lt;wsp:rsid wsp:val=&quot;00E13446&quot;/&gt;&lt;wsp:rsid wsp:val=&quot;00E141AB&quot;/&gt;&lt;wsp:rsid wsp:val=&quot;00E15C0B&quot;/&gt;&lt;wsp:rsid wsp:val=&quot;00E160AE&quot;/&gt;&lt;wsp:rsid wsp:val=&quot;00E20B8E&quot;/&gt;&lt;wsp:rsid wsp:val=&quot;00E35FA2&quot;/&gt;&lt;wsp:rsid wsp:val=&quot;00E37961&quot;/&gt;&lt;wsp:rsid wsp:val=&quot;00E42157&quot;/&gt;&lt;wsp:rsid wsp:val=&quot;00E42C0D&quot;/&gt;&lt;wsp:rsid wsp:val=&quot;00E53AD2&quot;/&gt;&lt;wsp:rsid wsp:val=&quot;00E547F7&quot;/&gt;&lt;wsp:rsid wsp:val=&quot;00E574D2&quot;/&gt;&lt;wsp:rsid wsp:val=&quot;00E57DEA&quot;/&gt;&lt;wsp:rsid wsp:val=&quot;00E61231&quot;/&gt;&lt;wsp:rsid wsp:val=&quot;00E64F79&quot;/&gt;&lt;wsp:rsid wsp:val=&quot;00E6756B&quot;/&gt;&lt;wsp:rsid wsp:val=&quot;00E758C1&quot;/&gt;&lt;wsp:rsid wsp:val=&quot;00E766A1&quot;/&gt;&lt;wsp:rsid wsp:val=&quot;00E76C2F&quot;/&gt;&lt;wsp:rsid wsp:val=&quot;00E77A75&quot;/&gt;&lt;wsp:rsid wsp:val=&quot;00E81B64&quot;/&gt;&lt;wsp:rsid wsp:val=&quot;00E8469C&quot;/&gt;&lt;wsp:rsid wsp:val=&quot;00E86345&quot;/&gt;&lt;wsp:rsid wsp:val=&quot;00E86AAB&quot;/&gt;&lt;wsp:rsid wsp:val=&quot;00E86EA4&quot;/&gt;&lt;wsp:rsid wsp:val=&quot;00E87CE5&quot;/&gt;&lt;wsp:rsid wsp:val=&quot;00E910C0&quot;/&gt;&lt;wsp:rsid wsp:val=&quot;00E97A21&quot;/&gt;&lt;wsp:rsid wsp:val=&quot;00EA1A10&quot;/&gt;&lt;wsp:rsid wsp:val=&quot;00EA5046&quot;/&gt;&lt;wsp:rsid wsp:val=&quot;00EA5330&quot;/&gt;&lt;wsp:rsid wsp:val=&quot;00EC1F26&quot;/&gt;&lt;wsp:rsid wsp:val=&quot;00EC2C53&quot;/&gt;&lt;wsp:rsid wsp:val=&quot;00EC45E8&quot;/&gt;&lt;wsp:rsid wsp:val=&quot;00EC56FA&quot;/&gt;&lt;wsp:rsid wsp:val=&quot;00ED193C&quot;/&gt;&lt;wsp:rsid wsp:val=&quot;00EE1C5D&quot;/&gt;&lt;wsp:rsid wsp:val=&quot;00EE35F7&quot;/&gt;&lt;wsp:rsid wsp:val=&quot;00EE6697&quot;/&gt;&lt;wsp:rsid wsp:val=&quot;00EF0D47&quot;/&gt;&lt;wsp:rsid wsp:val=&quot;00EF0F99&quot;/&gt;&lt;wsp:rsid wsp:val=&quot;00EF1839&quot;/&gt;&lt;wsp:rsid wsp:val=&quot;00EF25C0&quot;/&gt;&lt;wsp:rsid wsp:val=&quot;00EF2F90&quot;/&gt;&lt;wsp:rsid wsp:val=&quot;00EF4ACF&quot;/&gt;&lt;wsp:rsid wsp:val=&quot;00F051E4&quot;/&gt;&lt;wsp:rsid wsp:val=&quot;00F0729F&quot;/&gt;&lt;wsp:rsid wsp:val=&quot;00F113BC&quot;/&gt;&lt;wsp:rsid wsp:val=&quot;00F1272D&quot;/&gt;&lt;wsp:rsid wsp:val=&quot;00F14354&quot;/&gt;&lt;wsp:rsid wsp:val=&quot;00F14C6D&quot;/&gt;&lt;wsp:rsid wsp:val=&quot;00F22CAE&quot;/&gt;&lt;wsp:rsid wsp:val=&quot;00F24710&quot;/&gt;&lt;wsp:rsid wsp:val=&quot;00F310F2&quot;/&gt;&lt;wsp:rsid wsp:val=&quot;00F32078&quot;/&gt;&lt;wsp:rsid wsp:val=&quot;00F41981&quot;/&gt;&lt;wsp:rsid wsp:val=&quot;00F42D30&quot;/&gt;&lt;wsp:rsid wsp:val=&quot;00F4580A&quot;/&gt;&lt;wsp:rsid wsp:val=&quot;00F611C3&quot;/&gt;&lt;wsp:rsid wsp:val=&quot;00F662A3&quot;/&gt;&lt;wsp:rsid wsp:val=&quot;00F67C8E&quot;/&gt;&lt;wsp:rsid wsp:val=&quot;00F70F83&quot;/&gt;&lt;wsp:rsid wsp:val=&quot;00F7227A&quot;/&gt;&lt;wsp:rsid wsp:val=&quot;00F73FFE&quot;/&gt;&lt;wsp:rsid wsp:val=&quot;00F75E6D&quot;/&gt;&lt;wsp:rsid wsp:val=&quot;00F83785&quot;/&gt;&lt;wsp:rsid wsp:val=&quot;00F87B30&quot;/&gt;&lt;wsp:rsid wsp:val=&quot;00F90268&quot;/&gt;&lt;wsp:rsid wsp:val=&quot;00F91038&quot;/&gt;&lt;wsp:rsid wsp:val=&quot;00F94C74&quot;/&gt;&lt;wsp:rsid wsp:val=&quot;00F975E3&quot;/&gt;&lt;wsp:rsid wsp:val=&quot;00FB02B0&quot;/&gt;&lt;wsp:rsid wsp:val=&quot;00FB06B4&quot;/&gt;&lt;wsp:rsid wsp:val=&quot;00FB2474&quot;/&gt;&lt;wsp:rsid wsp:val=&quot;00FB3AEE&quot;/&gt;&lt;wsp:rsid wsp:val=&quot;00FC0B1A&quot;/&gt;&lt;wsp:rsid wsp:val=&quot;00FC469B&quot;/&gt;&lt;wsp:rsid wsp:val=&quot;00FC5AA7&quot;/&gt;&lt;wsp:rsid wsp:val=&quot;00FC62FC&quot;/&gt;&lt;wsp:rsid wsp:val=&quot;00FE001F&quot;/&gt;&lt;wsp:rsid wsp:val=&quot;00FE0A87&quot;/&gt;&lt;wsp:rsid wsp:val=&quot;00FE0AC9&quot;/&gt;&lt;wsp:rsid wsp:val=&quot;00FE41B1&quot;/&gt;&lt;wsp:rsid wsp:val=&quot;00FE4EA0&quot;/&gt;&lt;wsp:rsid wsp:val=&quot;00FE558F&quot;/&gt;&lt;wsp:rsid wsp:val=&quot;00FE5DA8&quot;/&gt;&lt;wsp:rsid wsp:val=&quot;00FE5FC7&quot;/&gt;&lt;wsp:rsid wsp:val=&quot;00FE7787&quot;/&gt;&lt;wsp:rsid wsp:val=&quot;00FF1EA0&quot;/&gt;&lt;wsp:rsid wsp:val=&quot;00FF4A90&quot;/&gt;&lt;wsp:rsid wsp:val=&quot;00FF5565&quot;/&gt;&lt;wsp:rsid wsp:val=&quot;00FF5748&quot;/&gt;&lt;wsp:rsid wsp:val=&quot;0473295E&quot;/&gt;&lt;wsp:rsid wsp:val=&quot;04986DFD&quot;/&gt;&lt;wsp:rsid wsp:val=&quot;06BE37E8&quot;/&gt;&lt;wsp:rsid wsp:val=&quot;06EF71BB&quot;/&gt;&lt;wsp:rsid wsp:val=&quot;073F3271&quot;/&gt;&lt;wsp:rsid wsp:val=&quot;0867295F&quot;/&gt;&lt;wsp:rsid wsp:val=&quot;0F364859&quot;/&gt;&lt;wsp:rsid wsp:val=&quot;12E41248&quot;/&gt;&lt;wsp:rsid wsp:val=&quot;16C52C78&quot;/&gt;&lt;wsp:rsid wsp:val=&quot;19C071D8&quot;/&gt;&lt;wsp:rsid wsp:val=&quot;2053311E&quot;/&gt;&lt;wsp:rsid wsp:val=&quot;20BF36A8&quot;/&gt;&lt;wsp:rsid wsp:val=&quot;2203702B&quot;/&gt;&lt;wsp:rsid wsp:val=&quot;25EB3C37&quot;/&gt;&lt;wsp:rsid wsp:val=&quot;2D0A43BB&quot;/&gt;&lt;wsp:rsid wsp:val=&quot;2FDD5020&quot;/&gt;&lt;wsp:rsid wsp:val=&quot;388A772D&quot;/&gt;&lt;wsp:rsid wsp:val=&quot;3915707E&quot;/&gt;&lt;wsp:rsid wsp:val=&quot;396750EC&quot;/&gt;&lt;wsp:rsid wsp:val=&quot;3BF255E8&quot;/&gt;&lt;wsp:rsid wsp:val=&quot;3C2036D5&quot;/&gt;&lt;wsp:rsid wsp:val=&quot;3CDB285C&quot;/&gt;&lt;wsp:rsid wsp:val=&quot;40A70CE6&quot;/&gt;&lt;wsp:rsid wsp:val=&quot;44E64F90&quot;/&gt;&lt;wsp:rsid wsp:val=&quot;48AB4BEA&quot;/&gt;&lt;wsp:rsid wsp:val=&quot;4A0D2402&quot;/&gt;&lt;wsp:rsid wsp:val=&quot;4D3669F2&quot;/&gt;&lt;wsp:rsid wsp:val=&quot;504363EF&quot;/&gt;&lt;wsp:rsid wsp:val=&quot;515E432B&quot;/&gt;&lt;wsp:rsid wsp:val=&quot;519B5BB9&quot;/&gt;&lt;wsp:rsid wsp:val=&quot;55821135&quot;/&gt;&lt;wsp:rsid wsp:val=&quot;56501CA7&quot;/&gt;&lt;wsp:rsid wsp:val=&quot;5665551B&quot;/&gt;&lt;wsp:rsid wsp:val=&quot;576D6C39&quot;/&gt;&lt;wsp:rsid wsp:val=&quot;588C018E&quot;/&gt;&lt;wsp:rsid wsp:val=&quot;5C1F7FE7&quot;/&gt;&lt;wsp:rsid wsp:val=&quot;5E3B3CB8&quot;/&gt;&lt;wsp:rsid wsp:val=&quot;5F853FB1&quot;/&gt;&lt;wsp:rsid wsp:val=&quot;606E0C9E&quot;/&gt;&lt;wsp:rsid wsp:val=&quot;61643B81&quot;/&gt;&lt;wsp:rsid wsp:val=&quot;66E70B21&quot;/&gt;&lt;wsp:rsid wsp:val=&quot;6A326B16&quot;/&gt;&lt;wsp:rsid wsp:val=&quot;6AC13071&quot;/&gt;&lt;wsp:rsid wsp:val=&quot;6AD47284&quot;/&gt;&lt;wsp:rsid wsp:val=&quot;6BFB1A7A&quot;/&gt;&lt;wsp:rsid wsp:val=&quot;6D4E5448&quot;/&gt;&lt;wsp:rsid wsp:val=&quot;70117CE3&quot;/&gt;&lt;wsp:rsid wsp:val=&quot;74AB1322&quot;/&gt;&lt;wsp:rsid wsp:val=&quot;768D1774&quot;/&gt;&lt;wsp:rsid wsp:val=&quot;780D70BC&quot;/&gt;&lt;wsp:rsid wsp:val=&quot;7ADD18DC&quot;/&gt;&lt;wsp:rsid wsp:val=&quot;7D840A0C&quot;/&gt;&lt;wsp:rsid wsp:val=&quot;7E264278&quot;/&gt;&lt;/wsp:rsids&gt;&lt;/w:docPr&gt;&lt;w:body&gt;&lt;wx:sect&gt;&lt;w:p wsp:rsidR=&quot;00000000&quot; wsp:rsidRDefault=&quot;009B536D&quot; wsp:rsidP=&quot;009B536D&quot;&gt;&lt;m:oMathPara&gt;&lt;m:oMath&gt;&lt;m:nary&gt;&lt;m:naryPr&gt;&lt;m:chr m:val=&quot;_?/&gt;&lt;m:limLoc m:val=&quot;subSup&quot;/&gt;&lt;m:supHide m:val=&quot;1&quot;/&gt;&lt;m:ctrlPr&gt;&lt;aml:annotation aml:id=&quot;0&quot; w:type=&quot;Word.Insertion&quot; aml:author=&quot;_?楠? awml:createdat00000e=&quot;20200-09-2:1T1iddRDDeffDefDefDefDefDefDefDefDefDefDefDefDefDefDefDefDefDefDefDefDefDefDefDefDefDefDefDefDefDefDefDefDefDefDefDefDefDefDefDefDefDefDefDefDefDefDefDefDefDefDefDtefDefDefDefDefDefDefDefD=efDefDefDefDefDefDefDefDtefDefDefDefDefDefDefDefDefDefDefDefDefDefDefDefDefDefDefDefDefDefDefDefDefDefDefDefDefDefDef7:31:00Z&quot;&gt;&lt;aml:content&gt;&lt;w:rPr&gt;&lt;w:rFonts w:ascii=&quot;Cambria Math&quot; w:fareast=&quot;?__f嚎&quot;Def w:Defh-aDefnsiDef=&quot;CDefambDetfriaDef MaDefth&quot;Def w:Def=cs=Def&quot;TiDefmesDef NeDefwt RDefomaDefn&quot;e/Def&gt;&lt;wDefx:ffDDeeffoDntDef wexDef:vafDefl=e&quot;DeefCDeefamDDefefbDefriDDefefaDef MDDefefaDefthDDefef&quot;Def/&gt;DDefef&lt;Defw:DDefefiDef/&gt;D7:3ef&lt;1:0w:D0Z&quot;efs&gt;&lt;az Dml:efwcon:vDtenefat&gt;&lt;l=Dw:ref&quot;Pr&gt;30D&lt;w:ef&quot;rFo/&gt;Dntsef&lt; w:w:Dascefsii=z-D&quot;Caefcmbrs Dia efwMat:vDh&quot; efaw:fl=Dareef&quot;ast30D=&quot;?ef&quot;/&gt;fDef&lt;/wDef:rPDefr&gt;&lt;Def/amDefl:cDefontDefentDef&gt;&lt;/DefamlDef:anDefnotDefatiDefon&gt;Def&lt;/mDef:ctDefrlPDefr&gt;&lt;/m:naryPr&gt;&lt;m:sub&gt;&lt;m:r&gt;&lt;aml:annotation aml:id=&quot;1&quot; w:type=&quot;Word.Insertion&quot; aml:author=&quot;_c?楠ef?i= aml:eCafcreatbreeefdata e=&quot;ef2aat020-0e&quot; f9-21sT:3f1Def&quot;7:e3re1:0eff0stZ&quot;&gt;&lt;are&quot;?fml&gt;:co&gt;ffnefDtefen/wt&gt;ef&lt;efwrPef:rPr&gt;eef&gt;&lt;f&lt;w:efrFamoeeffnts:cef w:efaefntsciief=entf&quot;efCamb&lt;/efrefia efmlMateeffhan&quot; m:w:heotPrf-ansisutir=ef&quot;:rCan&gt;mbl:refi/mtaa Ma_te actfh&quot; d=w:lPhew:fint&gt;&lt;=&quot;=&quot;fefa.Iarreastite&lt;mf&quot;am/&gt;&lt;w&gt;&lt;thxef:fo&lt;cant efwnnx:valeiof=&quot;Caml:befria1&quot; PDefMypath&quot;/&gt;or&lt;w:i/&gt;se&lt;w:sz n&quot;w:val=:a&quot;30&quot;/&gt;r=&lt;w:sz-cs w:val=&quot;30&quot;/&gt;&lt;/w:rPr&gt;&lt;m:t&gt;k&lt;/m:t&gt;&lt;/aml:content&gt;&lt;/aml:annotation&gt;&lt;/m:r&gt;&lt;/m:sub&gt;&lt;m:sup/&gt;&lt;m:e&gt;&lt;m:sSubSup&gt;&lt;m:sSubSupPr&gt;&lt;m:ctrlPr&gt;&lt;aml:annotation aml:id=&quot;2&quot; w:type=&quot;Word.Insertion&quot; aml:author=&quot;_l?:?f? am1l:&quot;ceMfreyatep&gt;dateofe=&gt;&quot;r202sPD ef0e-0n9=-21T1&quot;7:&gt;:31:00Za-r&quot;&gt;&lt;aml:lcc=onten&lt;t&gt;=&lt;sw:r&lt;Pr&gt;/&lt;w&quot;:mrFonmts lww:as:citi=:&quot;Ca:mabriat M&gt;oath&quot; wc:&gt;nfareast&gt;&lt;n=&quot;绛_p/&gt;嚎:r&gt;&lt;:a&gt;&lt;m:nn&quot; w:ubSr&gt;up&gt;&gt;&lt;h-anioSubSonn&gt;p/&gt;&lt;si&gt;&lt;m:=&quot;C:tambpe&lt;mP&quot;Wr&gt;&lt;rd:srIn&gt;&lt;/rianno&quot; a up&gt;&lt;Maohon athb&gt;?:&lt;mubd a=&quot;2Su:&quot;&quot; ceMw:cstype=ep&gt;&quot;&lt;m:c/&gt;rde=&gt;.I&lt;mTimerPD &gt;tion&lt;as n9=Nem:l:aus7:&gt;Snnotw R&quot;Za-_loman&quot;nml:l amam1p&gt;&lt;teian&lt;m/&gt;&lt;w=reyw:r&lt;&quot;2&quot;x:fobSw&quot;:=&quot;mteoupype=ts lnt 02swx::citvad.In-0na:mam:ctl=&quot;Ci M&gt;o&quot;7:on&quot;ambwc:&gt;r&gt;&lt;Zaram:ast&gt;autia :ccMa/&gt;th&quot;n_?nt&gt;=:m:ota/&gt;&lt;w:Pr&gt;/p&gt;il:&quot;/&gt; amFoneMbSml&lt;w:tepszp&gt;:am:s: w:&quot;2&quot;=&gt; =&quot;&quot;&gt;&lt;Ca:rvaD l=&quot;30&quot;not M&gt;9=pf0ee=&quot;/ a&gt;w:&gt;c:n&lt;w:sT1&quot;&quot;2a-z-st&lt;n.Inscsple 0Zaw:&lt;valon&lt;.I&quot; :c==&quot;&lt;30&quot;&lt;/on&gt;&lt;a&gt;&lt;sut&lt;hm/wau:rPr&lt;w&quot;&gt;&lt;ls_?_l?f/atscit wm&gt;&lt;lm1:cont:maecii=:SeyuefnM&gt;ot&gt;&lt;/amrieoa:cc:&gt;tl:atefnn2so&quot;st&gt; &lt;awctatio0nna/&gt;&gt;DeaoeMtst&lt;f&lt;7:/m:m:cp&gt;trlamPr&gt;arnp&gt;&lt;=&gt;/m:sSub2&quot;SccubD SpP&gt;r&gt;&lt;m:e&gt;e==9=&lt;m:m:r&gt;/&lt;aml:a:&gt;I/n&gt;&lt;nnotatmioa-n amnno&quot;ml:id=pl&quot;m3&quot; :w aut:tyn&lt;pe=&quot;WSo:r&quot;2d.:&quot;&lt;Insertiom&gt;npe&quot;hm &quot;aml:authonp.&lt;lIr=p&quot;_?楠e? at&lt;:&quot;it/oennm:co=&quot;rtla:cremaa/wau&gt;w:&lt;tedatf0es&gt;oe&lt;am=_lw=&quot;&lt;&quot;20200c:&gt;-0TD1&quot;9oeMm1-2ut&lt;1otst&gt;aT1cp&gt;7:3ey0Za1&gt;&lt;s:a/&gt;&lt;=&gt;00Z&quot;&gt;aeoml&lt;a:c=&gt;bD /m:&lt;ml:co2sntent=9=2&quot;&gt;np&gt;i&lt;Sus &gt;0n&lt;wa:&gt;:rPr&gt;&lt;ubSw:&lt;:cw7uoa-:&quot;re=&quot;Fon&lt;m:ts w=pl:&lt;araa iwsciIn&gt;&lt;nyn&lt;si=&quot;Cuccaotmb=:rn:&quot;&lt;noia Mn&quot;== atamh&quot;hm&quot; w aatw:h-I/ans.&lt;lut2&quot;hr&quot;2i=&quot;wcCamamtbria enpe=Ma?ft :ta&lt;h&quot;/&gt;&lt;wp.IxIn:foo:onte&gt;nf wx:nvn&quot;am&gt;l=&quot;CamP&gt;befruiuonta Math&quot;/&gt;/&gt;&gt;De.:f&lt;w:i/&gt;&lt;wtm:s &quot;z w:val=&quot;30&quot;m=p&quot;/&gt;&lt;w:sz-cs wWS:val=&quot;30&quot;/&gt;&lt;/omw:rPr&gt;&lt;m:t&gt;CVopR&lt;/m:t&gt;&lt;/aml:content&gt;&lt;/aml:annotation&gt;&lt;/m:r&gt;&lt;/m:e&gt;&lt;m:sub&gt;&lt;m:r&gt;&lt;aml:annotation aml:id=&quot;4&quot; w:type=&quot;Word.Insertion&quot; aml:author=&quot;_??o?o: Inawmlt:n&lt;th:crl=eatm&gt;eedan&quot;te=ru&quot;&gt;n2 M0?f2&gt;on0-09-ut21DeT1i/7P &gt;:3e.1:ef00Zs .:&quot;&quot;3&gt;&gt;&lt;aml&gt; &quot;/:con=ptee 3wW&quot;fnt&gt;&lt;wp&quot;:rtS:mPr&gt;&gt;&lt;:rw=p:&gt;Def:vrw:Foont&quot;mt&gt;s wWS:asc:&lt;/rtii=&quot;CamlmbWSromiaen: /mMath&quot;&gt;&lt; w:h-aoottipmnntsi=&quot;&lt;aCambria:&gt;&lt; Mcoaioopt:iha&quot; w:ohl:int=&quot;nn&lt;mfad.rcooea:ist&quot;/&gt;&lt;wx&gt;:a&lt;th:fonWotnn wx:val=idm:&quot;amCambri&gt;&lt;a Matorhti&quot;/&gt;&lt;w:i/&gt;m:&lt;wml:s wz w:val=&quot;30ti&quot;/ns&gt;&lt;w:sz-cs w:v wutal=&quot;30&quot;/&gt;&lt;/w:rPnsr&gt;&lt;m:t&gt;k&lt;/m:t&gt;&lt;ut/aml:content&gt;&lt;/aml:annotation&gt;&lt;/m:r&gt;&lt;/m:sub&gt;&lt;m:sup&gt;&lt;m:r&gt;&lt;aml:annotation aml:id=&quot;5&quot; w:type=&quot;Word.Insertion&quot; aml:author=&quot;_??a? thafoml:a:Wocreatl=e&gt;&lt;codatmam:e=&quot;2iamdat020-09-2m:1T/&gt;ntin17ml:ti3or1:00Z&quot;&gt;&lt;a:vtim/nz l:cs &gt;&lt;omlntent&gt;csal&lt;w&lt;w:r wPnsr&gt;&lt;w:i&quot;m:m:rw:F=&quot;onts w:tansasconii wutm:=&quot;Ctiambrr&gt;iioa utMa:ancthPn&quot; w:fa:s amwreasotsutns=&quot; ?utat井杞?l:an?m:sl:rtianu?w:typ:rPm:tnt&gt;&lt;/??aam:r&gt;&lt;a5&quot;n&quot; a wml&gt;&lt;/m&gt;l=&lt;utns_&quot; wia:h-aafortiondatml:idansi&gt;&lt;m:r&gt;i3&lt;onmam&gt;7ml&lt;/m: th&quot;Word.i=&quot;Centml&gt;&lt;m/nT/&gt;/aion amtm w:lml:autmsalam/ma::Fv:&gt;&lt;m:tssup&gt;t&gt;annti&lt;:mon:uypa:utWoe&gt;cs=&quot;Wotbrrria Mconaiom:az n&gt;&lt;:a2rww::iamnnonmwiio&quot; amlsu:tw&lt;w=&quot; at/m:twuth&quot; a:s7:tiw:csi=&quot;eF=&quot;nt&gt;aml:atatn:ad=&quot;a5&quot;:cs  w:wm:&lt;/a&gt;&lt;mptsu:s=up&gt;m=&quot;2idwPna:cs寰? a?or:tand.Insert__wrealsotaafo7ml?nts wa5&quot; ww:taTnn17:3or? m/nwnFmamn?m:ssu:r&gt;&lt;atinonml&quot;tisnalambrr&gt;t&lt;T/&gt; aml:au&gt;&lt;armltim:m:: thl:ac&gt;&lt;omma:vlho: w:fa aconwmr=&quot;l:id:mutm:ann=&quot; e&gt;csotathiionnotat wP井?:csi?l&quot;Wo&gt;t&gt;:a&quot;:2r&quot; a:sw:ntirad=&quot;ad.:anr&gt;&lt;w:i&quot;iodwn&gt;aml:atat:su:s=crm:twuteataiomz leml:auta&gt;or:t&lt;mp&gt;&lt;&lt;r&gt;w&lt;/m/maml:an::nsasl:tmFls寰? aw&lt;sswcii win inypa:Wo&gt;&lt;msntsm/nuaml&gt;t:id=fo&quot;5=&quot;eF=&quot;:arr&gt;&lt;&quot; w&quot;20sal20a:ar:an u:a2amiao:mtM w:wm:atnwh:m:Pn-09-2mum: a wml:&quot; /&gt;t=&quot;fa&quot;wPnac:on:c 7:tireastsi&quot;eastonn:vs=&quot;?utiiwo/&gt;=&quot;Woto&lt;5a&quot;:cs w/me31:0tcsh0Z&quot;s&gt;l&lt;ati=&quot;Ws=uort&gt;&lt;idwPnsawml:/am:mtd.Insertt:smlFub&gt;&lt;ntent&gt;&lt;tawml:ap:r &gt;&lt;/ml:wmid:sup&gt;x:fon&quot; ar&gt;ml&quot;2id:au:rFon:sup&gt;ts w:nsthamor=&quot;t rwx:val=&quot;CanotatrCtiambria ut&gt;&lt;aml:aml:cr5&quot; w:eatecoa:fa wreastnsnnotatmsertbria Math&quot;/020-09m:t&gt;&lt;ut-21Tnn&gt;&lt;won aml:id=&quot;5&quot; w:t&gt;&lt;/am0Z&quot;&gt;&lt;aml:c&gt;&lt;:i/&gt;&lt;w:sz w:vn&gt;&lt;/m:al=&quot;30&lt;w:rPr&gt;&lt;w:m:&quot;/&gt;&lt;w:sm:sup&gt;z-cs w:val=&quot;w:ascii=&quot;Cti30&quot;/&gt;&lt;/w:rPr&gt;&lt;m:t&gt;+Math&quot; w:fa w&lt;/m:t&gt;&lt;/aml:content&gt;&lt;/am/w:rPnsl:annotation&gt;&lt;/m:r&gt;&lt;/m:su:t&gt;&lt;utp&gt;&lt;/m:sSubSup&gt;&lt;/m:e&gt;&lt;/m:nt&gt;&lt;/am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0" o:title="" chromakey="white"/>
          </v:shape>
        </w:pict>
      </w:r>
      <w:r>
        <w:rPr>
          <w:rFonts w:ascii="仿宋_GB2312" w:eastAsia="仿宋_GB2312"/>
          <w:sz w:val="30"/>
          <w:szCs w:val="30"/>
        </w:rPr>
        <w:instrText xml:space="preserve"> </w:instrText>
      </w:r>
      <w:r>
        <w:rPr>
          <w:rFonts w:ascii="仿宋_GB2312" w:eastAsia="仿宋_GB2312"/>
          <w:sz w:val="30"/>
          <w:szCs w:val="30"/>
        </w:rPr>
        <w:fldChar w:fldCharType="end"/>
      </w:r>
      <w:r>
        <w:rPr>
          <w:rFonts w:ascii="仿宋_GB2312" w:eastAsia="仿宋_GB2312" w:hint="eastAsia"/>
          <w:sz w:val="30"/>
          <w:szCs w:val="30"/>
        </w:rPr>
        <w:t>。</w:t>
      </w:r>
    </w:p>
    <w:p w:rsidR="004165E8" w:rsidRDefault="00A108D9">
      <w:pPr>
        <w:widowControl/>
        <w:spacing w:line="480" w:lineRule="exact"/>
        <w:ind w:firstLineChars="213" w:firstLine="639"/>
        <w:rPr>
          <w:rFonts w:ascii="仿宋_GB2312" w:eastAsia="仿宋_GB2312"/>
          <w:sz w:val="28"/>
          <w:szCs w:val="28"/>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）如果</w:t>
      </w:r>
      <w:r>
        <w:rPr>
          <w:position w:val="-12"/>
          <w:sz w:val="30"/>
          <w:szCs w:val="30"/>
        </w:rPr>
        <w:object w:dxaOrig="293" w:dyaOrig="360">
          <v:shape id="_x0000_i1063" type="#_x0000_t75" style="width:14.6pt;height:18.2pt" o:ole="">
            <v:imagedata r:id="rId28" o:title=""/>
          </v:shape>
          <o:OLEObject Type="Embed" ProgID="Equation.DSMT4" ShapeID="_x0000_i1063" DrawAspect="Content" ObjectID="_1765373632" r:id="rId81"/>
        </w:object>
      </w:r>
      <w:r>
        <w:rPr>
          <w:rFonts w:ascii="仿宋_GB2312" w:eastAsia="仿宋_GB2312" w:hint="eastAsia"/>
          <w:sz w:val="30"/>
          <w:szCs w:val="30"/>
        </w:rPr>
        <w:t>与</w:t>
      </w:r>
      <m:oMath>
        <m:sSub>
          <m:sSubPr>
            <m:ctrlPr>
              <w:rPr>
                <w:rFonts w:ascii="Cambria Math" w:eastAsia="仿宋_GB2312" w:hAnsi="Cambria Math" w:hint="eastAsia"/>
                <w:i/>
                <w:sz w:val="30"/>
                <w:szCs w:val="30"/>
              </w:rPr>
            </m:ctrlPr>
          </m:sSubPr>
          <m:e>
            <m:r>
              <w:rPr>
                <w:rFonts w:ascii="Cambria Math" w:eastAsia="仿宋_GB2312" w:hAnsi="Cambria Math"/>
                <w:sz w:val="30"/>
                <w:szCs w:val="30"/>
              </w:rPr>
              <m:t>S</m:t>
            </m:r>
          </m:e>
          <m:sub>
            <m:r>
              <w:rPr>
                <w:rFonts w:ascii="Cambria Math" w:eastAsia="仿宋_GB2312" w:hAnsi="Cambria Math"/>
                <w:sz w:val="30"/>
                <w:szCs w:val="30"/>
              </w:rPr>
              <m:t>c</m:t>
            </m:r>
          </m:sub>
        </m:sSub>
      </m:oMath>
      <w:r>
        <w:rPr>
          <w:rFonts w:ascii="仿宋_GB2312" w:eastAsia="仿宋_GB2312" w:hint="eastAsia"/>
          <w:sz w:val="30"/>
          <w:szCs w:val="30"/>
        </w:rPr>
        <w:t>都为负数，则</w:t>
      </w:r>
      <w:r>
        <w:rPr>
          <w:position w:val="-14"/>
          <w:sz w:val="30"/>
          <w:szCs w:val="30"/>
        </w:rPr>
        <w:object w:dxaOrig="1053" w:dyaOrig="400">
          <v:shape id="_x0000_i1064" type="#_x0000_t75" style="width:52.75pt;height:19.95pt" o:ole="">
            <v:imagedata r:id="rId82" o:title=""/>
          </v:shape>
          <o:OLEObject Type="Embed" ProgID="Equation.DSMT4" ShapeID="_x0000_i1064" DrawAspect="Content" ObjectID="_1765373633" r:id="rId83"/>
        </w:object>
      </w:r>
      <w:r>
        <w:rPr>
          <w:rFonts w:ascii="仿宋_GB2312" w:eastAsia="仿宋_GB2312" w:hint="eastAsia"/>
          <w:sz w:val="30"/>
          <w:szCs w:val="30"/>
        </w:rPr>
        <w:t>取</w:t>
      </w:r>
      <w:r>
        <w:rPr>
          <w:rFonts w:ascii="仿宋_GB2312" w:eastAsia="仿宋_GB2312" w:hint="eastAsia"/>
          <w:sz w:val="30"/>
          <w:szCs w:val="30"/>
        </w:rPr>
        <w:t>0</w:t>
      </w:r>
      <w:r>
        <w:rPr>
          <w:rFonts w:ascii="仿宋_GB2312" w:eastAsia="仿宋_GB2312" w:hint="eastAsia"/>
          <w:sz w:val="30"/>
          <w:szCs w:val="30"/>
        </w:rPr>
        <w:t>，否则取</w:t>
      </w:r>
      <w:r>
        <w:rPr>
          <w:rFonts w:ascii="仿宋_GB2312" w:eastAsia="仿宋_GB2312" w:hint="eastAsia"/>
          <w:sz w:val="30"/>
          <w:szCs w:val="30"/>
        </w:rPr>
        <w:t>1</w:t>
      </w:r>
      <w:r>
        <w:rPr>
          <w:rFonts w:ascii="仿宋_GB2312" w:eastAsia="仿宋_GB2312" w:hint="eastAsia"/>
          <w:sz w:val="30"/>
          <w:szCs w:val="30"/>
        </w:rPr>
        <w:t>。</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（三）资本加总要求</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每个风险组及风险类别应以高中低三种相关系数</w:t>
      </w:r>
      <w:r>
        <w:rPr>
          <w:position w:val="-14"/>
          <w:sz w:val="30"/>
          <w:szCs w:val="30"/>
        </w:rPr>
        <w:object w:dxaOrig="400" w:dyaOrig="387">
          <v:shape id="_x0000_i1065" type="#_x0000_t75" style="width:19.95pt;height:19.25pt" o:ole="">
            <v:imagedata r:id="rId59" o:title=""/>
          </v:shape>
          <o:OLEObject Type="Embed" ProgID="Equation.DSMT4" ShapeID="_x0000_i1065" DrawAspect="Content" ObjectID="_1765373634" r:id="rId84"/>
        </w:object>
      </w:r>
      <w:r>
        <w:rPr>
          <w:rFonts w:ascii="仿宋_GB2312" w:eastAsia="仿宋_GB2312" w:hint="eastAsia"/>
          <w:sz w:val="30"/>
          <w:szCs w:val="30"/>
        </w:rPr>
        <w:t>和</w:t>
      </w:r>
      <w:r>
        <w:rPr>
          <w:position w:val="-12"/>
          <w:sz w:val="30"/>
          <w:szCs w:val="30"/>
        </w:rPr>
        <w:object w:dxaOrig="360" w:dyaOrig="360">
          <v:shape id="_x0000_i1066" type="#_x0000_t75" style="width:18.2pt;height:18.2pt" o:ole="">
            <v:imagedata r:id="rId18" o:title=""/>
          </v:shape>
          <o:OLEObject Type="Embed" ProgID="Equation.DSMT4" ShapeID="_x0000_i1066" DrawAspect="Content" ObjectID="_1765373635" r:id="rId85"/>
        </w:object>
      </w:r>
      <w:r>
        <w:rPr>
          <w:rFonts w:ascii="仿宋_GB2312" w:eastAsia="仿宋_GB2312" w:hint="eastAsia"/>
          <w:sz w:val="30"/>
          <w:szCs w:val="30"/>
        </w:rPr>
        <w:t>分别计算相应的风险资本。</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中相关系数按照本附件第二部分（四）到（十）确定。</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高相关系数为中相关系数乘以</w:t>
      </w:r>
      <w:r>
        <w:rPr>
          <w:rFonts w:ascii="仿宋_GB2312" w:eastAsia="仿宋_GB2312" w:hint="eastAsia"/>
          <w:sz w:val="30"/>
          <w:szCs w:val="30"/>
        </w:rPr>
        <w:t>1.25</w:t>
      </w:r>
      <w:r>
        <w:rPr>
          <w:rFonts w:ascii="仿宋_GB2312" w:eastAsia="仿宋_GB2312" w:hint="eastAsia"/>
          <w:sz w:val="30"/>
          <w:szCs w:val="30"/>
        </w:rPr>
        <w:t>，上限为</w:t>
      </w:r>
      <w:r>
        <w:rPr>
          <w:rFonts w:ascii="仿宋_GB2312" w:eastAsia="仿宋_GB2312" w:hint="eastAsia"/>
          <w:sz w:val="30"/>
          <w:szCs w:val="30"/>
        </w:rPr>
        <w:t>100%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rPr>
        <w:t>低相关系数应按照下列公式计算得出：</w:t>
      </w:r>
    </w:p>
    <w:p w:rsidR="004165E8" w:rsidRDefault="00A108D9">
      <w:pPr>
        <w:widowControl/>
        <w:jc w:val="center"/>
        <w:rPr>
          <w:rFonts w:ascii="仿宋_GB2312" w:eastAsia="仿宋_GB2312"/>
          <w:sz w:val="30"/>
          <w:szCs w:val="30"/>
        </w:rPr>
      </w:pPr>
      <w:r>
        <w:rPr>
          <w:noProof/>
          <w:position w:val="-36"/>
          <w:sz w:val="30"/>
          <w:szCs w:val="30"/>
        </w:rPr>
        <w:drawing>
          <wp:inline distT="0" distB="0" distL="114300" distR="114300">
            <wp:extent cx="2498090" cy="533400"/>
            <wp:effectExtent l="0" t="0" r="6350" b="0"/>
            <wp:docPr id="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7"/>
                    <pic:cNvPicPr>
                      <a:picLocks noChangeAspect="1"/>
                    </pic:cNvPicPr>
                  </pic:nvPicPr>
                  <pic:blipFill>
                    <a:blip r:embed="rId86"/>
                    <a:stretch>
                      <a:fillRect/>
                    </a:stretch>
                  </pic:blipFill>
                  <pic:spPr>
                    <a:xfrm>
                      <a:off x="0" y="0"/>
                      <a:ext cx="2498090" cy="533400"/>
                    </a:xfrm>
                    <a:prstGeom prst="rect">
                      <a:avLst/>
                    </a:prstGeom>
                    <a:noFill/>
                    <a:ln>
                      <a:noFill/>
                    </a:ln>
                  </pic:spPr>
                </pic:pic>
              </a:graphicData>
            </a:graphic>
          </wp:inline>
        </w:drawing>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分别计算得出三种相关系数下所有风险类别的得尔塔敏感度、</w:t>
      </w:r>
      <w:proofErr w:type="gramStart"/>
      <w:r>
        <w:rPr>
          <w:rFonts w:ascii="仿宋_GB2312" w:eastAsia="仿宋_GB2312" w:hint="eastAsia"/>
          <w:sz w:val="30"/>
          <w:szCs w:val="30"/>
        </w:rPr>
        <w:t>维伽敏感度</w:t>
      </w:r>
      <w:proofErr w:type="gramEnd"/>
      <w:r>
        <w:rPr>
          <w:rFonts w:ascii="仿宋_GB2312" w:eastAsia="仿宋_GB2312" w:hint="eastAsia"/>
          <w:sz w:val="30"/>
          <w:szCs w:val="30"/>
        </w:rPr>
        <w:t>及曲度敏</w:t>
      </w:r>
      <w:r>
        <w:rPr>
          <w:rFonts w:ascii="仿宋_GB2312" w:eastAsia="仿宋_GB2312" w:hint="eastAsia"/>
          <w:sz w:val="30"/>
          <w:szCs w:val="30"/>
        </w:rPr>
        <w:t>感度资本要求之和，基于敏感度方法下的风险资本要求为三种情</w:t>
      </w:r>
      <w:r>
        <w:rPr>
          <w:rFonts w:ascii="仿宋_GB2312" w:eastAsia="仿宋_GB2312"/>
          <w:sz w:val="30"/>
          <w:szCs w:val="30"/>
        </w:rPr>
        <w:t>景</w:t>
      </w:r>
      <w:r>
        <w:rPr>
          <w:rFonts w:ascii="仿宋_GB2312" w:eastAsia="仿宋_GB2312" w:hint="eastAsia"/>
          <w:sz w:val="30"/>
          <w:szCs w:val="30"/>
        </w:rPr>
        <w:t>中资本加总口径的最大值。</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（四）一般利率风险</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风险因子</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）得尔塔风险因子包括：</w:t>
      </w:r>
      <w:r>
        <w:rPr>
          <w:rFonts w:ascii="仿宋_GB2312" w:eastAsia="仿宋_GB2312"/>
          <w:sz w:val="30"/>
          <w:szCs w:val="30"/>
        </w:rPr>
        <w:t xml:space="preserve"> </w:t>
      </w:r>
    </w:p>
    <w:p w:rsidR="004165E8" w:rsidRDefault="00A108D9">
      <w:pPr>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由每种货币无风险利率曲线和期限定义的利率，期限为</w:t>
      </w:r>
      <w:r>
        <w:rPr>
          <w:rFonts w:ascii="仿宋_GB2312" w:eastAsia="仿宋_GB2312" w:hint="eastAsia"/>
          <w:sz w:val="30"/>
          <w:szCs w:val="30"/>
        </w:rPr>
        <w:lastRenderedPageBreak/>
        <w:t>0.25</w:t>
      </w:r>
      <w:r>
        <w:rPr>
          <w:rFonts w:ascii="仿宋_GB2312" w:eastAsia="仿宋_GB2312" w:hint="eastAsia"/>
          <w:sz w:val="30"/>
          <w:szCs w:val="30"/>
        </w:rPr>
        <w:t>年、</w:t>
      </w:r>
      <w:r>
        <w:rPr>
          <w:rFonts w:ascii="仿宋_GB2312" w:eastAsia="仿宋_GB2312" w:hint="eastAsia"/>
          <w:sz w:val="30"/>
          <w:szCs w:val="30"/>
        </w:rPr>
        <w:t>0.5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2</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10</w:t>
      </w:r>
      <w:r>
        <w:rPr>
          <w:rFonts w:ascii="仿宋_GB2312" w:eastAsia="仿宋_GB2312" w:hint="eastAsia"/>
          <w:sz w:val="30"/>
          <w:szCs w:val="30"/>
        </w:rPr>
        <w:t>年、</w:t>
      </w:r>
      <w:r>
        <w:rPr>
          <w:rFonts w:ascii="仿宋_GB2312" w:eastAsia="仿宋_GB2312" w:hint="eastAsia"/>
          <w:sz w:val="30"/>
          <w:szCs w:val="30"/>
        </w:rPr>
        <w:t>15</w:t>
      </w:r>
      <w:r>
        <w:rPr>
          <w:rFonts w:ascii="仿宋_GB2312" w:eastAsia="仿宋_GB2312" w:hint="eastAsia"/>
          <w:sz w:val="30"/>
          <w:szCs w:val="30"/>
        </w:rPr>
        <w:t>年、</w:t>
      </w:r>
      <w:r>
        <w:rPr>
          <w:rFonts w:ascii="仿宋_GB2312" w:eastAsia="仿宋_GB2312" w:hint="eastAsia"/>
          <w:sz w:val="30"/>
          <w:szCs w:val="30"/>
        </w:rPr>
        <w:t>20</w:t>
      </w:r>
      <w:r>
        <w:rPr>
          <w:rFonts w:ascii="仿宋_GB2312" w:eastAsia="仿宋_GB2312" w:hint="eastAsia"/>
          <w:sz w:val="30"/>
          <w:szCs w:val="30"/>
        </w:rPr>
        <w:t>年和</w:t>
      </w:r>
      <w:r>
        <w:rPr>
          <w:rFonts w:ascii="仿宋_GB2312" w:eastAsia="仿宋_GB2312" w:hint="eastAsia"/>
          <w:sz w:val="30"/>
          <w:szCs w:val="30"/>
        </w:rPr>
        <w:t>30</w:t>
      </w:r>
      <w:r>
        <w:rPr>
          <w:rFonts w:ascii="仿宋_GB2312" w:eastAsia="仿宋_GB2312" w:hint="eastAsia"/>
          <w:sz w:val="30"/>
          <w:szCs w:val="30"/>
        </w:rPr>
        <w:t>年。无风险利率曲线应以货币市场工具曲线或市场隐含的利率互换曲线构建，如隔夜指数互换曲线和银行间同业拆借利率互换曲线。当市场隐含的利率互换曲线数据不足时，可以使用给定货币的主权债券收益率曲线作为无风险利率曲线。标的不同、重定价日不同、同币种的在岸及离岸货币曲线应视作两条不同的曲线。</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隐含通胀率曲线。当工具的现金流与通胀有函数关系时，应考虑通胀风险因子。期限结构不作为风险因子维度。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交叉</w:t>
      </w:r>
      <w:proofErr w:type="gramStart"/>
      <w:r>
        <w:rPr>
          <w:rFonts w:ascii="仿宋_GB2312" w:eastAsia="仿宋_GB2312" w:hint="eastAsia"/>
          <w:sz w:val="30"/>
          <w:szCs w:val="30"/>
        </w:rPr>
        <w:t>货币基差曲线</w:t>
      </w:r>
      <w:proofErr w:type="gramEnd"/>
      <w:r>
        <w:rPr>
          <w:rFonts w:ascii="仿宋_GB2312" w:eastAsia="仿宋_GB2312" w:hint="eastAsia"/>
          <w:sz w:val="30"/>
          <w:szCs w:val="30"/>
        </w:rPr>
        <w:t>。交叉货币</w:t>
      </w:r>
      <w:proofErr w:type="gramStart"/>
      <w:r>
        <w:rPr>
          <w:rFonts w:ascii="仿宋_GB2312" w:eastAsia="仿宋_GB2312" w:hint="eastAsia"/>
          <w:sz w:val="30"/>
          <w:szCs w:val="30"/>
        </w:rPr>
        <w:t>的基差风险</w:t>
      </w:r>
      <w:proofErr w:type="gramEnd"/>
      <w:r>
        <w:rPr>
          <w:rFonts w:ascii="仿宋_GB2312" w:eastAsia="仿宋_GB2312" w:hint="eastAsia"/>
          <w:sz w:val="30"/>
          <w:szCs w:val="30"/>
        </w:rPr>
        <w:t>因子是每种货币对美元或对欧元的基差，货币利率互换产品应考虑交叉</w:t>
      </w:r>
      <w:proofErr w:type="gramStart"/>
      <w:r>
        <w:rPr>
          <w:rFonts w:ascii="仿宋_GB2312" w:eastAsia="仿宋_GB2312" w:hint="eastAsia"/>
          <w:sz w:val="30"/>
          <w:szCs w:val="30"/>
        </w:rPr>
        <w:t>货币基差因子</w:t>
      </w:r>
      <w:proofErr w:type="gramEnd"/>
      <w:r>
        <w:rPr>
          <w:rFonts w:ascii="仿宋_GB2312" w:eastAsia="仿宋_GB2312" w:hint="eastAsia"/>
          <w:sz w:val="30"/>
          <w:szCs w:val="30"/>
        </w:rPr>
        <w:t>。期限结构不作为风险因子维度。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因子是基于期权剩余期限和期权到期</w:t>
      </w:r>
      <w:proofErr w:type="gramStart"/>
      <w:r>
        <w:rPr>
          <w:rFonts w:ascii="仿宋_GB2312" w:eastAsia="仿宋_GB2312" w:hint="eastAsia"/>
          <w:sz w:val="30"/>
          <w:szCs w:val="30"/>
        </w:rPr>
        <w:t>后基础</w:t>
      </w:r>
      <w:proofErr w:type="gramEnd"/>
      <w:r>
        <w:rPr>
          <w:rFonts w:ascii="仿宋_GB2312" w:eastAsia="仿宋_GB2312" w:hint="eastAsia"/>
          <w:sz w:val="30"/>
          <w:szCs w:val="30"/>
        </w:rPr>
        <w:t>资产剩余期限的期权隐含波动率。期权的基础资产是一般利率风险相关的工具。期限为</w:t>
      </w:r>
      <w:r>
        <w:rPr>
          <w:rFonts w:ascii="仿宋_GB2312" w:eastAsia="仿宋_GB2312"/>
          <w:sz w:val="30"/>
          <w:szCs w:val="30"/>
        </w:rPr>
        <w:t>0.</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年。对于隐含通胀率曲线和交叉</w:t>
      </w:r>
      <w:proofErr w:type="gramStart"/>
      <w:r>
        <w:rPr>
          <w:rFonts w:ascii="仿宋_GB2312" w:eastAsia="仿宋_GB2312" w:hint="eastAsia"/>
          <w:sz w:val="30"/>
          <w:szCs w:val="30"/>
        </w:rPr>
        <w:t>货币基差曲线</w:t>
      </w:r>
      <w:proofErr w:type="gramEnd"/>
      <w:r>
        <w:rPr>
          <w:rFonts w:ascii="仿宋_GB2312" w:eastAsia="仿宋_GB2312" w:hint="eastAsia"/>
          <w:sz w:val="30"/>
          <w:szCs w:val="30"/>
        </w:rPr>
        <w:t>，仅考虑期权剩余期限维度。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）曲度风险因子是每种货币的无风险收益率曲线，期限结构不作为风险因子维度。隐含通胀率曲线和交叉</w:t>
      </w:r>
      <w:proofErr w:type="gramStart"/>
      <w:r>
        <w:rPr>
          <w:rFonts w:ascii="仿宋_GB2312" w:eastAsia="仿宋_GB2312" w:hint="eastAsia"/>
          <w:sz w:val="30"/>
          <w:szCs w:val="30"/>
        </w:rPr>
        <w:t>货币基差曲线</w:t>
      </w:r>
      <w:proofErr w:type="gramEnd"/>
      <w:r>
        <w:rPr>
          <w:rFonts w:ascii="仿宋_GB2312" w:eastAsia="仿宋_GB2312" w:hint="eastAsia"/>
          <w:sz w:val="30"/>
          <w:szCs w:val="30"/>
        </w:rPr>
        <w:t>无曲度风险资本要求。</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敏感度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）得尔塔敏感度计算方法：在给定货币的无风险利率曲线上，给定期限上利率变化</w:t>
      </w:r>
      <w:r>
        <w:rPr>
          <w:rFonts w:ascii="仿宋_GB2312" w:eastAsia="仿宋_GB2312" w:hint="eastAsia"/>
          <w:sz w:val="30"/>
          <w:szCs w:val="30"/>
        </w:rPr>
        <w:t>1</w:t>
      </w:r>
      <w:r>
        <w:rPr>
          <w:rFonts w:ascii="仿宋_GB2312" w:eastAsia="仿宋_GB2312" w:hint="eastAsia"/>
          <w:sz w:val="30"/>
          <w:szCs w:val="30"/>
        </w:rPr>
        <w:t>个基点引起工具市场价值的变化量，再除以</w:t>
      </w:r>
      <w:r>
        <w:rPr>
          <w:rFonts w:ascii="仿宋_GB2312" w:eastAsia="仿宋_GB2312" w:hint="eastAsia"/>
          <w:sz w:val="30"/>
          <w:szCs w:val="30"/>
        </w:rPr>
        <w:t>0.0001</w:t>
      </w:r>
      <w:r>
        <w:rPr>
          <w:rFonts w:ascii="仿宋_GB2312" w:eastAsia="仿宋_GB2312" w:hint="eastAsia"/>
          <w:sz w:val="30"/>
          <w:szCs w:val="30"/>
        </w:rPr>
        <w:t>。公式如下：</w:t>
      </w:r>
    </w:p>
    <w:p w:rsidR="004165E8" w:rsidRDefault="00A108D9">
      <w:pPr>
        <w:widowControl/>
        <w:jc w:val="center"/>
        <w:rPr>
          <w:rFonts w:ascii="仿宋_GB2312" w:eastAsia="仿宋_GB2312"/>
          <w:sz w:val="30"/>
          <w:szCs w:val="30"/>
        </w:rPr>
      </w:pPr>
      <w:r>
        <w:rPr>
          <w:position w:val="-24"/>
          <w:sz w:val="30"/>
          <w:szCs w:val="30"/>
        </w:rPr>
        <w:object w:dxaOrig="3813" w:dyaOrig="693">
          <v:shape id="_x0000_i1067" type="#_x0000_t75" style="width:190.7pt;height:34.55pt" o:ole="">
            <v:imagedata r:id="rId87" o:title=""/>
          </v:shape>
          <o:OLEObject Type="Embed" ProgID="Equation.DSMT4" ShapeID="_x0000_i1067" DrawAspect="Content" ObjectID="_1765373636" r:id="rId88"/>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其中：</w:t>
      </w:r>
    </w:p>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lastRenderedPageBreak/>
        <w:t>a.</w:t>
      </w:r>
      <w:proofErr w:type="gramEnd"/>
      <w:r>
        <w:rPr>
          <w:position w:val="-12"/>
          <w:sz w:val="30"/>
          <w:szCs w:val="30"/>
        </w:rPr>
        <w:object w:dxaOrig="213" w:dyaOrig="360">
          <v:shape id="_x0000_i1068" type="#_x0000_t75" style="width:10.7pt;height:18.2pt" o:ole="">
            <v:imagedata r:id="rId89" o:title=""/>
          </v:shape>
          <o:OLEObject Type="Embed" ProgID="Equation.DSMT4" ShapeID="_x0000_i1068" DrawAspect="Content" ObjectID="_1765373637" r:id="rId90"/>
        </w:object>
      </w:r>
      <w:r>
        <w:rPr>
          <w:rFonts w:ascii="仿宋_GB2312" w:eastAsia="仿宋_GB2312" w:hint="eastAsia"/>
          <w:sz w:val="30"/>
          <w:szCs w:val="30"/>
        </w:rPr>
        <w:t>是无风险利率曲线在期限</w:t>
      </w:r>
      <w:r>
        <w:rPr>
          <w:rFonts w:ascii="仿宋_GB2312" w:eastAsia="仿宋_GB2312" w:hint="eastAsia"/>
          <w:sz w:val="30"/>
          <w:szCs w:val="30"/>
        </w:rPr>
        <w:t>t</w:t>
      </w:r>
      <w:r>
        <w:rPr>
          <w:rFonts w:ascii="仿宋_GB2312" w:eastAsia="仿宋_GB2312" w:hint="eastAsia"/>
          <w:sz w:val="30"/>
          <w:szCs w:val="30"/>
        </w:rPr>
        <w:t>的利率。</w:t>
      </w:r>
    </w:p>
    <w:p w:rsidR="004165E8" w:rsidRDefault="00A108D9">
      <w:pPr>
        <w:ind w:firstLineChars="200" w:firstLine="600"/>
        <w:rPr>
          <w:rFonts w:eastAsia="仿宋_GB2312"/>
          <w:sz w:val="30"/>
          <w:szCs w:val="30"/>
        </w:rPr>
      </w:pPr>
      <w:proofErr w:type="gramStart"/>
      <w:r>
        <w:rPr>
          <w:rFonts w:ascii="仿宋_GB2312" w:eastAsia="仿宋_GB2312"/>
          <w:sz w:val="30"/>
          <w:szCs w:val="30"/>
        </w:rPr>
        <w:t>b.</w:t>
      </w:r>
      <w:proofErr w:type="gramEnd"/>
      <w:r>
        <w:rPr>
          <w:position w:val="-12"/>
          <w:sz w:val="30"/>
          <w:szCs w:val="30"/>
        </w:rPr>
        <w:object w:dxaOrig="333" w:dyaOrig="360">
          <v:shape id="_x0000_i1069" type="#_x0000_t75" style="width:16.75pt;height:18.2pt" o:ole="">
            <v:imagedata r:id="rId91" o:title=""/>
          </v:shape>
          <o:OLEObject Type="Embed" ProgID="Equation.DSMT4" ShapeID="_x0000_i1069" DrawAspect="Content" ObjectID="_1765373638" r:id="rId92"/>
        </w:object>
      </w:r>
      <w:r>
        <w:rPr>
          <w:rFonts w:ascii="仿宋_GB2312" w:eastAsia="仿宋_GB2312" w:hint="eastAsia"/>
          <w:sz w:val="30"/>
          <w:szCs w:val="30"/>
        </w:rPr>
        <w:t>是信用利差曲线在期限</w:t>
      </w:r>
      <w:r>
        <w:rPr>
          <w:rFonts w:ascii="仿宋_GB2312" w:eastAsia="仿宋_GB2312" w:hint="eastAsia"/>
          <w:sz w:val="30"/>
          <w:szCs w:val="30"/>
        </w:rPr>
        <w:t>t</w:t>
      </w:r>
      <w:r>
        <w:rPr>
          <w:rFonts w:ascii="仿宋_GB2312" w:eastAsia="仿宋_GB2312" w:hint="eastAsia"/>
          <w:sz w:val="30"/>
          <w:szCs w:val="30"/>
        </w:rPr>
        <w:t>的值。</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sz w:val="30"/>
          <w:szCs w:val="30"/>
        </w:rPr>
        <w:t xml:space="preserve"> </w:t>
      </w:r>
      <w:r>
        <w:rPr>
          <w:position w:val="-12"/>
          <w:sz w:val="30"/>
          <w:szCs w:val="30"/>
        </w:rPr>
        <w:object w:dxaOrig="280" w:dyaOrig="360">
          <v:shape id="_x0000_i1070" type="#_x0000_t75" style="width:13.9pt;height:18.2pt" o:ole="">
            <v:imagedata r:id="rId93" o:title=""/>
          </v:shape>
          <o:OLEObject Type="Embed" ProgID="Equation.DSMT4" ShapeID="_x0000_i1070" DrawAspect="Content" ObjectID="_1765373639" r:id="rId94"/>
        </w:object>
      </w:r>
      <w:r>
        <w:rPr>
          <w:rFonts w:ascii="仿宋_GB2312" w:eastAsia="仿宋_GB2312" w:hint="eastAsia"/>
          <w:sz w:val="30"/>
          <w:szCs w:val="30"/>
        </w:rPr>
        <w:t>是工具</w:t>
      </w:r>
      <w:r>
        <w:rPr>
          <w:rFonts w:ascii="仿宋_GB2312" w:eastAsia="仿宋_GB2312"/>
          <w:sz w:val="30"/>
          <w:szCs w:val="30"/>
        </w:rPr>
        <w:t>i</w:t>
      </w:r>
      <w:r>
        <w:rPr>
          <w:rFonts w:ascii="仿宋_GB2312" w:eastAsia="仿宋_GB2312" w:hint="eastAsia"/>
          <w:sz w:val="30"/>
          <w:szCs w:val="30"/>
        </w:rPr>
        <w:t>的市场价值，为无风险利率曲线和信用利差曲线的函数。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隐含通胀率曲线与交叉</w:t>
      </w:r>
      <w:proofErr w:type="gramStart"/>
      <w:r>
        <w:rPr>
          <w:rFonts w:ascii="仿宋_GB2312" w:eastAsia="仿宋_GB2312" w:hint="eastAsia"/>
          <w:sz w:val="30"/>
          <w:szCs w:val="30"/>
        </w:rPr>
        <w:t>货币基差曲线</w:t>
      </w:r>
      <w:proofErr w:type="gramEnd"/>
      <w:r>
        <w:rPr>
          <w:rFonts w:ascii="仿宋_GB2312" w:eastAsia="仿宋_GB2312" w:hint="eastAsia"/>
          <w:sz w:val="30"/>
          <w:szCs w:val="30"/>
        </w:rPr>
        <w:t>的得尔塔敏感度计算方法与无风险利率曲线一致。</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维伽敏感度等于维伽乘以</w:t>
      </w:r>
      <w:proofErr w:type="gramEnd"/>
      <w:r>
        <w:rPr>
          <w:rFonts w:ascii="仿宋_GB2312" w:eastAsia="仿宋_GB2312" w:cs="仿宋_GB2312" w:hint="eastAsia"/>
          <w:color w:val="000000"/>
          <w:kern w:val="0"/>
          <w:sz w:val="30"/>
          <w:szCs w:val="30"/>
          <w:shd w:val="clear" w:color="auto" w:fill="FFFFFF"/>
          <w:lang w:bidi="ar"/>
        </w:rPr>
        <w:t>期权的隐含波动率。</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m:oMathPara>
        <m:oMath>
          <m:sSub>
            <m:sSubPr>
              <m:ctrlPr>
                <w:rPr>
                  <w:rFonts w:ascii="Cambria Math" w:eastAsia="仿宋_GB2312" w:hAnsi="Cambria Math" w:cs="仿宋_GB2312" w:hint="eastAsia"/>
                  <w:color w:val="000000"/>
                  <w:kern w:val="0"/>
                  <w:sz w:val="30"/>
                  <w:szCs w:val="30"/>
                  <w:shd w:val="clear" w:color="auto" w:fill="FFFFFF"/>
                  <w:lang w:bidi="ar"/>
                </w:rPr>
              </m:ctrlPr>
            </m:sSubPr>
            <m:e>
              <m:r>
                <w:rPr>
                  <w:rFonts w:ascii="Cambria Math" w:eastAsia="仿宋_GB2312" w:hAnsi="Cambria Math" w:cs="仿宋_GB2312"/>
                  <w:color w:val="000000"/>
                  <w:kern w:val="0"/>
                  <w:sz w:val="30"/>
                  <w:szCs w:val="30"/>
                  <w:shd w:val="clear" w:color="auto" w:fill="FFFFFF"/>
                  <w:lang w:bidi="ar"/>
                </w:rPr>
                <m:t>S</m:t>
              </m:r>
            </m:e>
            <m:sub>
              <m:r>
                <w:rPr>
                  <w:rFonts w:ascii="Cambria Math" w:eastAsia="仿宋_GB2312" w:hAnsi="Cambria Math" w:cs="仿宋_GB2312"/>
                  <w:color w:val="000000"/>
                  <w:kern w:val="0"/>
                  <w:sz w:val="30"/>
                  <w:szCs w:val="30"/>
                  <w:shd w:val="clear" w:color="auto" w:fill="FFFFFF"/>
                  <w:lang w:bidi="ar"/>
                </w:rPr>
                <m:t>k</m:t>
              </m:r>
              <m:r>
                <w:rPr>
                  <w:rFonts w:ascii="Cambria Math" w:eastAsia="仿宋_GB2312" w:hAnsi="Cambria Math" w:cs="仿宋_GB2312"/>
                  <w:color w:val="000000"/>
                  <w:kern w:val="0"/>
                  <w:sz w:val="30"/>
                  <w:szCs w:val="30"/>
                  <w:shd w:val="clear" w:color="auto" w:fill="FFFFFF"/>
                  <w:lang w:bidi="ar"/>
                </w:rPr>
                <m:t>=</m:t>
              </m:r>
            </m:sub>
          </m:sSub>
          <m:r>
            <w:rPr>
              <w:rFonts w:ascii="Cambria Math" w:eastAsia="仿宋_GB2312" w:hAnsi="Cambria Math" w:cs="仿宋_GB2312"/>
              <w:color w:val="000000"/>
              <w:kern w:val="0"/>
              <w:sz w:val="30"/>
              <w:szCs w:val="30"/>
              <w:shd w:val="clear" w:color="auto" w:fill="FFFFFF"/>
              <w:lang w:bidi="ar"/>
            </w:rPr>
            <m:t>Vega</m:t>
          </m:r>
          <m:r>
            <w:rPr>
              <w:rFonts w:ascii="Cambria Math" w:eastAsia="仿宋_GB2312" w:hAnsi="Cambria Math" w:cs="仿宋_GB2312"/>
              <w:color w:val="000000"/>
              <w:kern w:val="0"/>
              <w:sz w:val="30"/>
              <w:szCs w:val="30"/>
              <w:shd w:val="clear" w:color="auto" w:fill="FFFFFF"/>
              <w:lang w:bidi="ar"/>
            </w:rPr>
            <m:t>×</m:t>
          </m:r>
          <m:r>
            <w:rPr>
              <w:rFonts w:ascii="Cambria Math" w:eastAsia="仿宋_GB2312" w:hAnsi="Cambria Math" w:cs="仿宋_GB2312"/>
              <w:color w:val="000000"/>
              <w:kern w:val="0"/>
              <w:sz w:val="30"/>
              <w:szCs w:val="30"/>
              <w:shd w:val="clear" w:color="auto" w:fill="FFFFFF"/>
              <w:lang w:bidi="ar"/>
            </w:rPr>
            <m:t>implied</m:t>
          </m:r>
          <m:r>
            <w:rPr>
              <w:rFonts w:ascii="Cambria Math" w:eastAsia="仿宋_GB2312" w:hAnsi="Cambria Math" w:cs="仿宋_GB2312"/>
              <w:color w:val="000000"/>
              <w:kern w:val="0"/>
              <w:sz w:val="30"/>
              <w:szCs w:val="30"/>
              <w:shd w:val="clear" w:color="auto" w:fill="FFFFFF"/>
              <w:lang w:bidi="ar"/>
            </w:rPr>
            <m:t xml:space="preserve"> </m:t>
          </m:r>
          <m:r>
            <w:rPr>
              <w:rFonts w:ascii="Cambria Math" w:eastAsia="仿宋_GB2312" w:hAnsi="Cambria Math" w:cs="仿宋_GB2312"/>
              <w:color w:val="000000"/>
              <w:kern w:val="0"/>
              <w:sz w:val="30"/>
              <w:szCs w:val="30"/>
              <w:shd w:val="clear" w:color="auto" w:fill="FFFFFF"/>
              <w:lang w:bidi="ar"/>
            </w:rPr>
            <m:t>volatility</m:t>
          </m:r>
        </m:oMath>
      </m:oMathPara>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proofErr w:type="gramStart"/>
      <w:r>
        <w:rPr>
          <w:rFonts w:ascii="仿宋_GB2312" w:eastAsia="仿宋_GB2312" w:cs="仿宋_GB2312" w:hint="eastAsia"/>
          <w:color w:val="000000"/>
          <w:kern w:val="0"/>
          <w:sz w:val="30"/>
          <w:szCs w:val="30"/>
          <w:shd w:val="clear" w:color="auto" w:fill="FFFFFF"/>
          <w:lang w:bidi="ar"/>
        </w:rPr>
        <w:t>维伽是</w:t>
      </w:r>
      <w:proofErr w:type="gramEnd"/>
      <w:r>
        <w:rPr>
          <w:rFonts w:ascii="仿宋_GB2312" w:eastAsia="仿宋_GB2312" w:cs="仿宋_GB2312" w:hint="eastAsia"/>
          <w:color w:val="000000"/>
          <w:kern w:val="0"/>
          <w:sz w:val="30"/>
          <w:szCs w:val="30"/>
          <w:shd w:val="clear" w:color="auto" w:fill="FFFFFF"/>
          <w:lang w:bidi="ar"/>
        </w:rPr>
        <w:t>隐含波动率的微小变化引起的期权市场价值变化，其公式为：</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30"/>
          <w:sz w:val="30"/>
          <w:szCs w:val="30"/>
        </w:rPr>
        <w:object w:dxaOrig="1227" w:dyaOrig="693">
          <v:shape id="_x0000_i1071" type="#_x0000_t75" style="width:61.3pt;height:34.55pt" o:ole="">
            <v:imagedata r:id="rId95" o:title=""/>
          </v:shape>
          <o:OLEObject Type="Embed" ProgID="Equation.DSMT4" ShapeID="_x0000_i1071" DrawAspect="Content" ObjectID="_1765373640" r:id="rId96"/>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proofErr w:type="gramStart"/>
      <w:r>
        <w:rPr>
          <w:rFonts w:ascii="仿宋_GB2312" w:eastAsia="仿宋_GB2312" w:cs="仿宋_GB2312" w:hint="eastAsia"/>
          <w:color w:val="000000"/>
          <w:kern w:val="0"/>
          <w:sz w:val="30"/>
          <w:szCs w:val="30"/>
          <w:shd w:val="clear" w:color="auto" w:fill="FFFFFF"/>
          <w:lang w:bidi="ar"/>
        </w:rPr>
        <w:t>维伽和</w:t>
      </w:r>
      <w:proofErr w:type="gramEnd"/>
      <w:r>
        <w:rPr>
          <w:rFonts w:ascii="仿宋_GB2312" w:eastAsia="仿宋_GB2312" w:cs="仿宋_GB2312" w:hint="eastAsia"/>
          <w:color w:val="000000"/>
          <w:kern w:val="0"/>
          <w:sz w:val="30"/>
          <w:szCs w:val="30"/>
          <w:shd w:val="clear" w:color="auto" w:fill="FFFFFF"/>
          <w:lang w:bidi="ar"/>
        </w:rPr>
        <w:t>隐含波动率出自风险管理部门的定价模型。</w:t>
      </w:r>
      <w:proofErr w:type="gramStart"/>
      <w:r>
        <w:rPr>
          <w:rFonts w:ascii="仿宋_GB2312" w:eastAsia="仿宋_GB2312" w:cs="仿宋_GB2312" w:hint="eastAsia"/>
          <w:color w:val="000000"/>
          <w:kern w:val="0"/>
          <w:sz w:val="30"/>
          <w:szCs w:val="30"/>
          <w:shd w:val="clear" w:color="auto" w:fill="FFFFFF"/>
          <w:lang w:bidi="ar"/>
        </w:rPr>
        <w:t>维伽敏感度</w:t>
      </w:r>
      <w:proofErr w:type="gramEnd"/>
      <w:r>
        <w:rPr>
          <w:rFonts w:ascii="仿宋_GB2312" w:eastAsia="仿宋_GB2312" w:cs="仿宋_GB2312" w:hint="eastAsia"/>
          <w:color w:val="000000"/>
          <w:kern w:val="0"/>
          <w:sz w:val="30"/>
          <w:szCs w:val="30"/>
          <w:shd w:val="clear" w:color="auto" w:fill="FFFFFF"/>
          <w:lang w:bidi="ar"/>
        </w:rPr>
        <w:t>的计算无需考虑信用估值调整的影响。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对于没有到期期限的期权，应映射到最长期限</w:t>
      </w:r>
      <w:r>
        <w:rPr>
          <w:rFonts w:ascii="仿宋_GB2312" w:eastAsia="仿宋_GB2312" w:cs="仿宋_GB2312" w:hint="eastAsia"/>
          <w:color w:val="000000"/>
          <w:kern w:val="0"/>
          <w:sz w:val="30"/>
          <w:szCs w:val="30"/>
          <w:shd w:val="clear" w:color="auto" w:fill="FFFFFF"/>
          <w:lang w:bidi="ar"/>
        </w:rPr>
        <w:t>10</w:t>
      </w:r>
      <w:r>
        <w:rPr>
          <w:rFonts w:ascii="仿宋_GB2312" w:eastAsia="仿宋_GB2312" w:cs="仿宋_GB2312" w:hint="eastAsia"/>
          <w:color w:val="000000"/>
          <w:kern w:val="0"/>
          <w:sz w:val="30"/>
          <w:szCs w:val="30"/>
          <w:shd w:val="clear" w:color="auto" w:fill="FFFFFF"/>
          <w:lang w:bidi="ar"/>
        </w:rPr>
        <w:t>年。对于没有执行价格或障碍价格的期权，以及有多个执行价格或多个障碍价格的期权，应映射到期权定价时的执行价格和期限。</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在计算一般利率风险和信用利差风险</w:t>
      </w:r>
      <w:proofErr w:type="gramStart"/>
      <w:r>
        <w:rPr>
          <w:rFonts w:ascii="仿宋_GB2312" w:eastAsia="仿宋_GB2312" w:cs="仿宋_GB2312" w:hint="eastAsia"/>
          <w:color w:val="000000"/>
          <w:kern w:val="0"/>
          <w:sz w:val="30"/>
          <w:szCs w:val="30"/>
          <w:shd w:val="clear" w:color="auto" w:fill="FFFFFF"/>
          <w:lang w:bidi="ar"/>
        </w:rPr>
        <w:t>的维伽敏感度</w:t>
      </w:r>
      <w:proofErr w:type="gramEnd"/>
      <w:r>
        <w:rPr>
          <w:rFonts w:ascii="仿宋_GB2312" w:eastAsia="仿宋_GB2312" w:cs="仿宋_GB2312" w:hint="eastAsia"/>
          <w:color w:val="000000"/>
          <w:kern w:val="0"/>
          <w:sz w:val="30"/>
          <w:szCs w:val="30"/>
          <w:shd w:val="clear" w:color="auto" w:fill="FFFFFF"/>
          <w:lang w:bidi="ar"/>
        </w:rPr>
        <w:t>时，商业银行可采用对数正态分布或正态分布作为定价模型的分布假设；在计算股票、商品和</w:t>
      </w:r>
      <w:proofErr w:type="gramStart"/>
      <w:r>
        <w:rPr>
          <w:rFonts w:ascii="仿宋_GB2312" w:eastAsia="仿宋_GB2312" w:cs="仿宋_GB2312" w:hint="eastAsia"/>
          <w:color w:val="000000"/>
          <w:kern w:val="0"/>
          <w:sz w:val="30"/>
          <w:szCs w:val="30"/>
          <w:shd w:val="clear" w:color="auto" w:fill="FFFFFF"/>
          <w:lang w:bidi="ar"/>
        </w:rPr>
        <w:t>汇率维伽敏感度</w:t>
      </w:r>
      <w:proofErr w:type="gramEnd"/>
      <w:r>
        <w:rPr>
          <w:rFonts w:ascii="仿宋_GB2312" w:eastAsia="仿宋_GB2312" w:cs="仿宋_GB2312" w:hint="eastAsia"/>
          <w:color w:val="000000"/>
          <w:kern w:val="0"/>
          <w:sz w:val="30"/>
          <w:szCs w:val="30"/>
          <w:shd w:val="clear" w:color="auto" w:fill="FFFFFF"/>
          <w:lang w:bidi="ar"/>
        </w:rPr>
        <w:t>时，商业银行应采用对数正态分布作为定价模型的分布假设。</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）曲度敏感度计算详见本附件第二部分（二）。</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3</w:t>
      </w:r>
      <w:r>
        <w:rPr>
          <w:rFonts w:ascii="仿宋_GB2312" w:eastAsia="仿宋_GB2312" w:hAnsi="黑体" w:hint="eastAsia"/>
          <w:bCs/>
          <w:sz w:val="30"/>
          <w:szCs w:val="30"/>
        </w:rPr>
        <w:t>.</w:t>
      </w:r>
      <w:r>
        <w:rPr>
          <w:rFonts w:ascii="仿宋_GB2312" w:eastAsia="仿宋_GB2312" w:hAnsi="黑体"/>
          <w:bCs/>
          <w:sz w:val="30"/>
          <w:szCs w:val="30"/>
        </w:rPr>
        <w:t>风险组、风险权重、相关系数</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）一般利率风险组以币种区分，同一货币的各条无风险利率曲线上面的所有风险因子均计入同一个风险组。</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）得尔塔</w:t>
      </w:r>
      <w:r>
        <w:rPr>
          <w:rFonts w:ascii="仿宋_GB2312" w:eastAsia="仿宋_GB2312" w:hint="eastAsia"/>
          <w:sz w:val="30"/>
          <w:szCs w:val="30"/>
        </w:rPr>
        <w:t>敏感度的</w:t>
      </w:r>
      <w:r>
        <w:rPr>
          <w:rFonts w:ascii="仿宋_GB2312" w:eastAsia="仿宋_GB2312" w:cs="仿宋_GB2312" w:hint="eastAsia"/>
          <w:color w:val="000000"/>
          <w:kern w:val="0"/>
          <w:sz w:val="30"/>
          <w:szCs w:val="30"/>
          <w:shd w:val="clear" w:color="auto" w:fill="FFFFFF"/>
          <w:lang w:bidi="ar"/>
        </w:rPr>
        <w:t>风险权重如下：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lastRenderedPageBreak/>
        <w:t>a.</w:t>
      </w:r>
      <w:r>
        <w:rPr>
          <w:rFonts w:ascii="仿宋_GB2312" w:eastAsia="仿宋_GB2312" w:hint="eastAsia"/>
          <w:sz w:val="30"/>
          <w:szCs w:val="30"/>
        </w:rPr>
        <w:t>无风险利率曲线上每个期限点的风险权重见表</w:t>
      </w:r>
      <w:r>
        <w:rPr>
          <w:rFonts w:ascii="仿宋_GB2312" w:eastAsia="仿宋_GB2312" w:hint="eastAsia"/>
          <w:sz w:val="30"/>
          <w:szCs w:val="30"/>
        </w:rPr>
        <w:t>1</w:t>
      </w:r>
      <w:r>
        <w:rPr>
          <w:rFonts w:ascii="仿宋_GB2312" w:eastAsia="仿宋_GB2312" w:hint="eastAsia"/>
          <w:sz w:val="30"/>
          <w:szCs w:val="30"/>
        </w:rPr>
        <w:t>。</w:t>
      </w:r>
    </w:p>
    <w:p w:rsidR="004165E8" w:rsidRDefault="00A108D9">
      <w:pPr>
        <w:widowControl/>
        <w:spacing w:line="480" w:lineRule="exact"/>
        <w:jc w:val="center"/>
        <w:rPr>
          <w:rFonts w:ascii="仿宋_GB2312" w:eastAsia="仿宋_GB2312" w:cs="仿宋_GB2312"/>
          <w:color w:val="000000"/>
          <w:kern w:val="0"/>
          <w:sz w:val="30"/>
          <w:szCs w:val="30"/>
          <w:shd w:val="clear" w:color="auto" w:fill="FFFFFF"/>
          <w:lang w:bidi="ar"/>
        </w:rPr>
      </w:pPr>
      <w:r>
        <w:rPr>
          <w:rFonts w:ascii="楷体_GB2312" w:eastAsia="楷体_GB2312" w:hint="eastAsia"/>
          <w:b/>
          <w:sz w:val="28"/>
          <w:szCs w:val="28"/>
        </w:rPr>
        <w:t>表</w:t>
      </w:r>
      <w:r>
        <w:rPr>
          <w:rFonts w:ascii="楷体_GB2312" w:eastAsia="楷体_GB2312" w:hint="eastAsia"/>
          <w:b/>
          <w:sz w:val="28"/>
          <w:szCs w:val="28"/>
        </w:rPr>
        <w:t>1</w:t>
      </w:r>
      <w:r>
        <w:rPr>
          <w:rFonts w:ascii="楷体_GB2312" w:eastAsia="楷体_GB2312"/>
          <w:b/>
          <w:sz w:val="28"/>
          <w:szCs w:val="28"/>
        </w:rPr>
        <w:t xml:space="preserve"> </w:t>
      </w:r>
      <w:r>
        <w:rPr>
          <w:rFonts w:ascii="楷体_GB2312" w:eastAsia="楷体_GB2312" w:hint="eastAsia"/>
          <w:b/>
          <w:sz w:val="28"/>
          <w:szCs w:val="28"/>
        </w:rPr>
        <w:t>得尔塔敏感度期限点及风险权重</w:t>
      </w:r>
    </w:p>
    <w:tbl>
      <w:tblPr>
        <w:tblW w:w="8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65"/>
        <w:gridCol w:w="1262"/>
        <w:gridCol w:w="1208"/>
        <w:gridCol w:w="1223"/>
        <w:gridCol w:w="1239"/>
      </w:tblGrid>
      <w:tr w:rsidR="004165E8">
        <w:trPr>
          <w:jc w:val="center"/>
        </w:trPr>
        <w:tc>
          <w:tcPr>
            <w:tcW w:w="1809" w:type="dxa"/>
            <w:vAlign w:val="center"/>
          </w:tcPr>
          <w:p w:rsidR="004165E8" w:rsidRDefault="00A108D9">
            <w:pPr>
              <w:pStyle w:val="Paragraph"/>
              <w:jc w:val="center"/>
              <w:rPr>
                <w:rFonts w:ascii="宋体" w:hAnsi="宋体" w:cs="宋体"/>
                <w:b/>
              </w:rPr>
            </w:pPr>
            <w:r>
              <w:rPr>
                <w:rFonts w:ascii="宋体" w:hAnsi="宋体" w:cs="宋体" w:hint="eastAsia"/>
                <w:b/>
              </w:rPr>
              <w:t>期限点</w:t>
            </w:r>
          </w:p>
        </w:tc>
        <w:tc>
          <w:tcPr>
            <w:tcW w:w="1365"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0.25</w:t>
            </w:r>
            <w:r>
              <w:rPr>
                <w:rFonts w:ascii="宋体" w:hAnsi="宋体" w:cs="宋体" w:hint="eastAsia"/>
                <w:b/>
                <w:bCs/>
                <w:color w:val="000000"/>
                <w:sz w:val="24"/>
              </w:rPr>
              <w:t>年</w:t>
            </w:r>
          </w:p>
        </w:tc>
        <w:tc>
          <w:tcPr>
            <w:tcW w:w="1262"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0.5</w:t>
            </w:r>
            <w:r>
              <w:rPr>
                <w:rFonts w:ascii="宋体" w:hAnsi="宋体" w:cs="宋体" w:hint="eastAsia"/>
                <w:b/>
                <w:bCs/>
                <w:color w:val="000000"/>
                <w:sz w:val="24"/>
              </w:rPr>
              <w:t>年</w:t>
            </w:r>
          </w:p>
        </w:tc>
        <w:tc>
          <w:tcPr>
            <w:tcW w:w="1208"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1</w:t>
            </w:r>
            <w:r>
              <w:rPr>
                <w:rFonts w:ascii="宋体" w:hAnsi="宋体" w:cs="宋体" w:hint="eastAsia"/>
                <w:b/>
                <w:bCs/>
                <w:color w:val="000000"/>
                <w:sz w:val="24"/>
              </w:rPr>
              <w:t>年</w:t>
            </w:r>
          </w:p>
        </w:tc>
        <w:tc>
          <w:tcPr>
            <w:tcW w:w="1223"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2</w:t>
            </w:r>
            <w:r>
              <w:rPr>
                <w:rFonts w:ascii="宋体" w:hAnsi="宋体" w:cs="宋体" w:hint="eastAsia"/>
                <w:b/>
                <w:bCs/>
                <w:color w:val="000000"/>
                <w:sz w:val="24"/>
              </w:rPr>
              <w:t>年</w:t>
            </w:r>
          </w:p>
        </w:tc>
        <w:tc>
          <w:tcPr>
            <w:tcW w:w="1239"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3</w:t>
            </w:r>
            <w:r>
              <w:rPr>
                <w:rFonts w:ascii="宋体" w:hAnsi="宋体" w:cs="宋体" w:hint="eastAsia"/>
                <w:b/>
                <w:bCs/>
                <w:color w:val="000000"/>
                <w:sz w:val="24"/>
              </w:rPr>
              <w:t>年</w:t>
            </w:r>
          </w:p>
        </w:tc>
      </w:tr>
      <w:tr w:rsidR="004165E8">
        <w:trPr>
          <w:jc w:val="center"/>
        </w:trPr>
        <w:tc>
          <w:tcPr>
            <w:tcW w:w="1809" w:type="dxa"/>
            <w:vAlign w:val="center"/>
          </w:tcPr>
          <w:p w:rsidR="004165E8" w:rsidRDefault="00A108D9">
            <w:pPr>
              <w:pStyle w:val="Paragraph"/>
              <w:jc w:val="center"/>
              <w:rPr>
                <w:rFonts w:ascii="宋体" w:hAnsi="宋体" w:cs="宋体"/>
              </w:rPr>
            </w:pPr>
            <w:r>
              <w:rPr>
                <w:rFonts w:ascii="宋体" w:hAnsi="宋体" w:cs="宋体" w:hint="eastAsia"/>
              </w:rPr>
              <w:t>风险权重</w:t>
            </w:r>
          </w:p>
        </w:tc>
        <w:tc>
          <w:tcPr>
            <w:tcW w:w="1365"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1.7%</w:t>
            </w:r>
          </w:p>
        </w:tc>
        <w:tc>
          <w:tcPr>
            <w:tcW w:w="1262"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1.7%</w:t>
            </w:r>
          </w:p>
        </w:tc>
        <w:tc>
          <w:tcPr>
            <w:tcW w:w="1208"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1.6%</w:t>
            </w:r>
          </w:p>
        </w:tc>
        <w:tc>
          <w:tcPr>
            <w:tcW w:w="1223"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1.3%</w:t>
            </w:r>
          </w:p>
        </w:tc>
        <w:tc>
          <w:tcPr>
            <w:tcW w:w="1239"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1.2%</w:t>
            </w:r>
          </w:p>
        </w:tc>
      </w:tr>
      <w:tr w:rsidR="004165E8">
        <w:trPr>
          <w:jc w:val="center"/>
        </w:trPr>
        <w:tc>
          <w:tcPr>
            <w:tcW w:w="1809" w:type="dxa"/>
            <w:vAlign w:val="center"/>
          </w:tcPr>
          <w:p w:rsidR="004165E8" w:rsidRDefault="00A108D9">
            <w:pPr>
              <w:pStyle w:val="Paragraph"/>
              <w:jc w:val="center"/>
              <w:rPr>
                <w:rFonts w:ascii="宋体" w:hAnsi="宋体" w:cs="宋体"/>
                <w:b/>
              </w:rPr>
            </w:pPr>
            <w:r>
              <w:rPr>
                <w:rFonts w:ascii="宋体" w:hAnsi="宋体" w:cs="宋体" w:hint="eastAsia"/>
                <w:b/>
              </w:rPr>
              <w:t>期限点</w:t>
            </w:r>
          </w:p>
        </w:tc>
        <w:tc>
          <w:tcPr>
            <w:tcW w:w="1365"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5</w:t>
            </w:r>
            <w:r>
              <w:rPr>
                <w:rFonts w:ascii="宋体" w:hAnsi="宋体" w:cs="宋体" w:hint="eastAsia"/>
                <w:b/>
                <w:bCs/>
                <w:color w:val="000000"/>
                <w:sz w:val="24"/>
              </w:rPr>
              <w:t>年</w:t>
            </w:r>
          </w:p>
        </w:tc>
        <w:tc>
          <w:tcPr>
            <w:tcW w:w="1262"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10</w:t>
            </w:r>
            <w:r>
              <w:rPr>
                <w:rFonts w:ascii="宋体" w:hAnsi="宋体" w:cs="宋体" w:hint="eastAsia"/>
                <w:b/>
                <w:bCs/>
                <w:color w:val="000000"/>
                <w:sz w:val="24"/>
              </w:rPr>
              <w:t>年</w:t>
            </w:r>
          </w:p>
        </w:tc>
        <w:tc>
          <w:tcPr>
            <w:tcW w:w="1208"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15</w:t>
            </w:r>
            <w:r>
              <w:rPr>
                <w:rFonts w:ascii="宋体" w:hAnsi="宋体" w:cs="宋体" w:hint="eastAsia"/>
                <w:b/>
                <w:bCs/>
                <w:color w:val="000000"/>
                <w:sz w:val="24"/>
              </w:rPr>
              <w:t>年</w:t>
            </w:r>
          </w:p>
        </w:tc>
        <w:tc>
          <w:tcPr>
            <w:tcW w:w="1223"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20</w:t>
            </w:r>
            <w:r>
              <w:rPr>
                <w:rFonts w:ascii="宋体" w:hAnsi="宋体" w:cs="宋体" w:hint="eastAsia"/>
                <w:b/>
                <w:bCs/>
                <w:color w:val="000000"/>
                <w:sz w:val="24"/>
              </w:rPr>
              <w:t>年</w:t>
            </w:r>
          </w:p>
        </w:tc>
        <w:tc>
          <w:tcPr>
            <w:tcW w:w="1239" w:type="dxa"/>
            <w:vAlign w:val="center"/>
          </w:tcPr>
          <w:p w:rsidR="004165E8" w:rsidRDefault="00A108D9">
            <w:pPr>
              <w:keepNext/>
              <w:jc w:val="center"/>
              <w:rPr>
                <w:rFonts w:ascii="宋体" w:hAnsi="宋体" w:cs="宋体"/>
                <w:b/>
                <w:bCs/>
                <w:color w:val="000000"/>
                <w:sz w:val="24"/>
              </w:rPr>
            </w:pPr>
            <w:r>
              <w:rPr>
                <w:rFonts w:ascii="宋体" w:hAnsi="宋体" w:cs="宋体" w:hint="eastAsia"/>
                <w:b/>
                <w:bCs/>
                <w:color w:val="000000"/>
                <w:sz w:val="24"/>
              </w:rPr>
              <w:t>30</w:t>
            </w:r>
            <w:r>
              <w:rPr>
                <w:rFonts w:ascii="宋体" w:hAnsi="宋体" w:cs="宋体" w:hint="eastAsia"/>
                <w:b/>
                <w:bCs/>
                <w:color w:val="000000"/>
                <w:sz w:val="24"/>
              </w:rPr>
              <w:t>年</w:t>
            </w:r>
          </w:p>
        </w:tc>
      </w:tr>
      <w:tr w:rsidR="004165E8">
        <w:trPr>
          <w:jc w:val="center"/>
        </w:trPr>
        <w:tc>
          <w:tcPr>
            <w:tcW w:w="1809" w:type="dxa"/>
            <w:vAlign w:val="center"/>
          </w:tcPr>
          <w:p w:rsidR="004165E8" w:rsidRDefault="00A108D9">
            <w:pPr>
              <w:pStyle w:val="Paragraph"/>
              <w:jc w:val="center"/>
              <w:rPr>
                <w:rFonts w:ascii="宋体" w:hAnsi="宋体" w:cs="宋体"/>
              </w:rPr>
            </w:pPr>
            <w:r>
              <w:rPr>
                <w:rFonts w:ascii="宋体" w:hAnsi="宋体" w:cs="宋体" w:hint="eastAsia"/>
              </w:rPr>
              <w:t>风险权重</w:t>
            </w:r>
          </w:p>
        </w:tc>
        <w:tc>
          <w:tcPr>
            <w:tcW w:w="1365"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1.1%</w:t>
            </w:r>
          </w:p>
        </w:tc>
        <w:tc>
          <w:tcPr>
            <w:tcW w:w="1262"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1.1%</w:t>
            </w:r>
          </w:p>
        </w:tc>
        <w:tc>
          <w:tcPr>
            <w:tcW w:w="1208"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1.1%</w:t>
            </w:r>
          </w:p>
        </w:tc>
        <w:tc>
          <w:tcPr>
            <w:tcW w:w="1223"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1.1%</w:t>
            </w:r>
          </w:p>
        </w:tc>
        <w:tc>
          <w:tcPr>
            <w:tcW w:w="1239" w:type="dxa"/>
            <w:vAlign w:val="center"/>
          </w:tcPr>
          <w:p w:rsidR="004165E8" w:rsidRDefault="00A108D9">
            <w:pPr>
              <w:keepNext/>
              <w:jc w:val="center"/>
              <w:rPr>
                <w:rFonts w:ascii="宋体" w:hAnsi="宋体" w:cs="宋体"/>
                <w:color w:val="000000"/>
                <w:sz w:val="24"/>
              </w:rPr>
            </w:pPr>
            <w:r>
              <w:rPr>
                <w:rFonts w:ascii="宋体" w:hAnsi="宋体" w:cs="宋体" w:hint="eastAsia"/>
                <w:color w:val="000000"/>
                <w:sz w:val="24"/>
              </w:rPr>
              <w:t>1.1%</w:t>
            </w:r>
          </w:p>
        </w:tc>
      </w:tr>
    </w:tbl>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通胀风险因子和交叉</w:t>
      </w:r>
      <w:proofErr w:type="gramStart"/>
      <w:r>
        <w:rPr>
          <w:rFonts w:ascii="仿宋_GB2312" w:eastAsia="仿宋_GB2312" w:hint="eastAsia"/>
          <w:sz w:val="30"/>
          <w:szCs w:val="30"/>
        </w:rPr>
        <w:t>货币基差风险</w:t>
      </w:r>
      <w:proofErr w:type="gramEnd"/>
      <w:r>
        <w:rPr>
          <w:rFonts w:ascii="仿宋_GB2312" w:eastAsia="仿宋_GB2312" w:hint="eastAsia"/>
          <w:sz w:val="30"/>
          <w:szCs w:val="30"/>
        </w:rPr>
        <w:t>因子的风险权重为</w:t>
      </w:r>
      <w:r>
        <w:rPr>
          <w:rFonts w:ascii="仿宋_GB2312" w:eastAsia="仿宋_GB2312" w:hint="eastAsia"/>
          <w:sz w:val="30"/>
          <w:szCs w:val="30"/>
        </w:rPr>
        <w:t>1.6%</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对于欧元、美元、英镑、澳大利亚元、日元、瑞典克朗、加拿大元以及人民币，商业银行可将风险权重除以</w:t>
      </w:r>
      <m:oMath>
        <m:rad>
          <m:radPr>
            <m:degHide m:val="1"/>
            <m:ctrlPr>
              <w:rPr>
                <w:rFonts w:ascii="Cambria Math" w:eastAsia="仿宋_GB2312" w:hAnsi="Cambria Math" w:hint="eastAsia"/>
                <w:sz w:val="30"/>
                <w:szCs w:val="30"/>
              </w:rPr>
            </m:ctrlPr>
          </m:radPr>
          <m:deg/>
          <m:e>
            <m:r>
              <w:rPr>
                <w:rFonts w:ascii="Cambria Math" w:eastAsia="仿宋_GB2312" w:hAnsi="Cambria Math"/>
                <w:sz w:val="30"/>
                <w:szCs w:val="30"/>
              </w:rPr>
              <m:t>2</m:t>
            </m:r>
          </m:e>
        </m:rad>
      </m:oMath>
      <w:r>
        <w:rPr>
          <w:rFonts w:ascii="仿宋_GB2312" w:eastAsia="仿宋_GB2312" w:hint="eastAsia"/>
          <w:sz w:val="30"/>
          <w:szCs w:val="30"/>
        </w:rPr>
        <w:t>。</w:t>
      </w:r>
    </w:p>
    <w:p w:rsidR="004165E8" w:rsidRDefault="00A108D9">
      <w:pPr>
        <w:ind w:firstLineChars="200" w:firstLine="600"/>
        <w:rPr>
          <w:rFonts w:ascii="仿宋_GB2312" w:eastAsia="仿宋_GB2312" w:hAnsi="Cambria Math"/>
          <w:i/>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计算组</w:t>
      </w:r>
      <w:proofErr w:type="gramEnd"/>
      <w:r>
        <w:rPr>
          <w:rFonts w:ascii="仿宋_GB2312" w:eastAsia="仿宋_GB2312" w:cs="仿宋_GB2312" w:hint="eastAsia"/>
          <w:color w:val="000000"/>
          <w:kern w:val="0"/>
          <w:sz w:val="30"/>
          <w:szCs w:val="30"/>
          <w:shd w:val="clear" w:color="auto" w:fill="FFFFFF"/>
          <w:lang w:bidi="ar"/>
        </w:rPr>
        <w:t>内得尔塔敏感度风险头寸时，同一个风险组内的</w:t>
      </w:r>
      <w:bookmarkStart w:id="3" w:name="_Hlk51614309"/>
      <w:bookmarkStart w:id="4" w:name="_Hlk51614405"/>
      <w:r>
        <w:rPr>
          <w:rFonts w:ascii="仿宋_GB2312" w:eastAsia="仿宋_GB2312" w:cs="仿宋_GB2312" w:hint="eastAsia"/>
          <w:color w:val="000000"/>
          <w:kern w:val="0"/>
          <w:sz w:val="30"/>
          <w:szCs w:val="30"/>
          <w:shd w:val="clear" w:color="auto" w:fill="FFFFFF"/>
          <w:lang w:bidi="ar"/>
        </w:rPr>
        <w:t>相关系数</w:t>
      </w:r>
      <w:r>
        <w:rPr>
          <w:position w:val="-14"/>
          <w:sz w:val="30"/>
          <w:szCs w:val="30"/>
        </w:rPr>
        <w:object w:dxaOrig="400" w:dyaOrig="387">
          <v:shape id="_x0000_i1072" type="#_x0000_t75" style="width:19.95pt;height:19.25pt" o:ole="">
            <v:imagedata r:id="rId59" o:title=""/>
          </v:shape>
          <o:OLEObject Type="Embed" ProgID="Equation.DSMT4" ShapeID="_x0000_i1072" DrawAspect="Content" ObjectID="_1765373641" r:id="rId97"/>
        </w:object>
      </w:r>
      <w:bookmarkEnd w:id="3"/>
      <w:r>
        <w:rPr>
          <w:rFonts w:ascii="仿宋_GB2312" w:eastAsia="仿宋_GB2312" w:cs="仿宋_GB2312" w:hint="eastAsia"/>
          <w:color w:val="000000"/>
          <w:kern w:val="0"/>
          <w:sz w:val="30"/>
          <w:szCs w:val="30"/>
          <w:shd w:val="clear" w:color="auto" w:fill="FFFFFF"/>
          <w:lang w:bidi="ar"/>
        </w:rPr>
        <w:t>如下</w:t>
      </w:r>
      <w:bookmarkEnd w:id="4"/>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在同一风险组，同一期限维度，不同无风险利率曲线的情况下，</w:t>
      </w:r>
      <w:r>
        <w:rPr>
          <w:rFonts w:ascii="仿宋_GB2312" w:eastAsia="仿宋_GB2312" w:cs="仿宋_GB2312" w:hint="eastAsia"/>
          <w:color w:val="000000"/>
          <w:kern w:val="0"/>
          <w:sz w:val="30"/>
          <w:szCs w:val="30"/>
          <w:shd w:val="clear" w:color="auto" w:fill="FFFFFF"/>
          <w:lang w:bidi="ar"/>
        </w:rPr>
        <w:t>相关系数</w:t>
      </w:r>
      <w:r>
        <w:rPr>
          <w:position w:val="-14"/>
          <w:sz w:val="30"/>
          <w:szCs w:val="30"/>
        </w:rPr>
        <w:object w:dxaOrig="400" w:dyaOrig="387">
          <v:shape id="_x0000_i1073" type="#_x0000_t75" style="width:19.95pt;height:19.25pt" o:ole="">
            <v:imagedata r:id="rId59" o:title=""/>
          </v:shape>
          <o:OLEObject Type="Embed" ProgID="Equation.DSMT4" ShapeID="_x0000_i1073" DrawAspect="Content" ObjectID="_1765373642" r:id="rId98"/>
        </w:object>
      </w:r>
      <w:r>
        <w:rPr>
          <w:rFonts w:ascii="仿宋_GB2312" w:eastAsia="仿宋_GB2312" w:hint="eastAsia"/>
          <w:sz w:val="30"/>
          <w:szCs w:val="30"/>
        </w:rPr>
        <w:t>为</w:t>
      </w:r>
      <w:r>
        <w:rPr>
          <w:rFonts w:ascii="仿宋_GB2312" w:eastAsia="仿宋_GB2312" w:hint="eastAsia"/>
          <w:sz w:val="30"/>
          <w:szCs w:val="30"/>
        </w:rPr>
        <w:t>99.90%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在同一风险组，不同期限维度但同一无风险利率曲线的情况下，</w:t>
      </w:r>
      <w:r>
        <w:rPr>
          <w:rFonts w:ascii="仿宋_GB2312" w:eastAsia="仿宋_GB2312" w:cs="仿宋_GB2312" w:hint="eastAsia"/>
          <w:color w:val="000000"/>
          <w:kern w:val="0"/>
          <w:sz w:val="30"/>
          <w:szCs w:val="30"/>
          <w:shd w:val="clear" w:color="auto" w:fill="FFFFFF"/>
          <w:lang w:bidi="ar"/>
        </w:rPr>
        <w:t>相关系数</w:t>
      </w:r>
      <w:r>
        <w:rPr>
          <w:position w:val="-14"/>
          <w:sz w:val="30"/>
          <w:szCs w:val="30"/>
        </w:rPr>
        <w:object w:dxaOrig="400" w:dyaOrig="387">
          <v:shape id="_x0000_i1074" type="#_x0000_t75" style="width:19.95pt;height:19.25pt" o:ole="">
            <v:imagedata r:id="rId59" o:title=""/>
          </v:shape>
          <o:OLEObject Type="Embed" ProgID="Equation.DSMT4" ShapeID="_x0000_i1074" DrawAspect="Content" ObjectID="_1765373643" r:id="rId99"/>
        </w:object>
      </w:r>
      <w:r>
        <w:rPr>
          <w:rFonts w:ascii="仿宋_GB2312" w:eastAsia="仿宋_GB2312" w:hint="eastAsia"/>
          <w:sz w:val="30"/>
          <w:szCs w:val="30"/>
        </w:rPr>
        <w:t>见表</w:t>
      </w:r>
      <w:r>
        <w:rPr>
          <w:rFonts w:ascii="仿宋_GB2312" w:eastAsia="仿宋_GB2312" w:hint="eastAsia"/>
          <w:sz w:val="30"/>
          <w:szCs w:val="30"/>
        </w:rPr>
        <w:t>2</w:t>
      </w:r>
      <w:r>
        <w:rPr>
          <w:rFonts w:ascii="仿宋_GB2312" w:eastAsia="仿宋_GB2312" w:hint="eastAsia"/>
          <w:sz w:val="30"/>
          <w:szCs w:val="30"/>
        </w:rPr>
        <w:t>。</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 xml:space="preserve">2 </w:t>
      </w:r>
      <w:r>
        <w:rPr>
          <w:rFonts w:ascii="楷体_GB2312" w:eastAsia="楷体_GB2312" w:hint="eastAsia"/>
          <w:b/>
          <w:sz w:val="28"/>
          <w:szCs w:val="28"/>
        </w:rPr>
        <w:t>同一无风险利率曲线期限点间的得尔塔敏感度相关系数</w:t>
      </w:r>
    </w:p>
    <w:tbl>
      <w:tblPr>
        <w:tblW w:w="11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
        <w:gridCol w:w="1020"/>
        <w:gridCol w:w="1020"/>
        <w:gridCol w:w="1020"/>
        <w:gridCol w:w="1020"/>
        <w:gridCol w:w="1020"/>
        <w:gridCol w:w="1020"/>
        <w:gridCol w:w="1020"/>
        <w:gridCol w:w="1020"/>
        <w:gridCol w:w="1020"/>
        <w:gridCol w:w="1020"/>
      </w:tblGrid>
      <w:tr w:rsidR="004165E8">
        <w:trPr>
          <w:trHeight w:val="227"/>
          <w:tblHeader/>
          <w:jc w:val="center"/>
        </w:trPr>
        <w:tc>
          <w:tcPr>
            <w:tcW w:w="1020" w:type="dxa"/>
            <w:vAlign w:val="center"/>
          </w:tcPr>
          <w:p w:rsidR="004165E8" w:rsidRDefault="004165E8">
            <w:pPr>
              <w:jc w:val="center"/>
              <w:rPr>
                <w:rFonts w:ascii="宋体" w:hAnsi="宋体" w:cs="宋体"/>
                <w:b/>
                <w:bCs/>
                <w:color w:val="000000"/>
                <w:sz w:val="24"/>
              </w:rPr>
            </w:pP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0.25</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0.5</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1</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2</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3</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5</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10</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15</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20</w:t>
            </w:r>
            <w:r>
              <w:rPr>
                <w:rFonts w:ascii="宋体" w:hAnsi="宋体" w:cs="宋体" w:hint="eastAsia"/>
                <w:b/>
                <w:bCs/>
                <w:color w:val="000000"/>
                <w:sz w:val="24"/>
              </w:rPr>
              <w:t>年</w:t>
            </w:r>
          </w:p>
        </w:tc>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30</w:t>
            </w:r>
            <w:r>
              <w:rPr>
                <w:rFonts w:ascii="宋体" w:hAnsi="宋体" w:cs="宋体" w:hint="eastAsia"/>
                <w:b/>
                <w:bCs/>
                <w:color w:val="000000"/>
                <w:sz w:val="24"/>
              </w:rPr>
              <w:t>年</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0.25</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91.4%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81.1%</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71.9%</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56.6%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0.5</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91.4%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86.1%</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56.6%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41.9%</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1</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91.4%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94.2%</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88.7%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65.7%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56.6%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41.9%</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2</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81.1%</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91.4%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98.5%</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95.6%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88.7%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82.3%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65.7%</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3</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71.9%</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86.1%</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94.2%</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98.5%</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93.2%</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88.7%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84.4%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5</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56.6%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88.7%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95.6%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94.2%</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91.4%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86.1%</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lastRenderedPageBreak/>
              <w:t>10</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56.6%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88.7%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93.2%</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98.5%</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94.2%</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15</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41.9%</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65.7%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82.3%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88.7%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94.2%</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98.5%</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99.0%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20</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56.6%</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84.4%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91.4%</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99.0%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98.5%</w:t>
            </w:r>
          </w:p>
        </w:tc>
      </w:tr>
      <w:tr w:rsidR="004165E8">
        <w:trPr>
          <w:trHeight w:val="227"/>
          <w:jc w:val="center"/>
        </w:trPr>
        <w:tc>
          <w:tcPr>
            <w:tcW w:w="1020"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30</w:t>
            </w:r>
            <w:r>
              <w:rPr>
                <w:rFonts w:ascii="宋体" w:hAnsi="宋体" w:cs="宋体" w:hint="eastAsia"/>
                <w:b/>
                <w:bCs/>
                <w:color w:val="000000"/>
                <w:sz w:val="24"/>
              </w:rPr>
              <w:t>年</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40.0%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41.9%</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65.7%</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76.3%</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86.1%</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94.2%</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97.0%</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98.5%</w:t>
            </w:r>
          </w:p>
        </w:tc>
        <w:tc>
          <w:tcPr>
            <w:tcW w:w="1020" w:type="dxa"/>
            <w:vAlign w:val="center"/>
          </w:tcPr>
          <w:p w:rsidR="004165E8" w:rsidRDefault="00A108D9">
            <w:pPr>
              <w:autoSpaceDE w:val="0"/>
              <w:autoSpaceDN w:val="0"/>
              <w:adjustRightInd w:val="0"/>
              <w:spacing w:before="156" w:after="156"/>
              <w:jc w:val="center"/>
              <w:rPr>
                <w:rFonts w:ascii="宋体" w:hAnsi="宋体" w:cs="宋体"/>
                <w:color w:val="000000"/>
                <w:kern w:val="0"/>
                <w:sz w:val="24"/>
              </w:rPr>
            </w:pPr>
            <w:r>
              <w:rPr>
                <w:rFonts w:ascii="宋体" w:hAnsi="宋体" w:cs="宋体" w:hint="eastAsia"/>
                <w:color w:val="000000"/>
                <w:kern w:val="0"/>
                <w:sz w:val="24"/>
              </w:rPr>
              <w:t>100.0%</w:t>
            </w:r>
          </w:p>
        </w:tc>
      </w:tr>
    </w:tbl>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在同一个风险组，不同期限维度，不同无风险利率曲线的情况下，</w:t>
      </w:r>
      <w:r>
        <w:rPr>
          <w:rFonts w:ascii="仿宋_GB2312" w:eastAsia="仿宋_GB2312" w:cs="仿宋_GB2312" w:hint="eastAsia"/>
          <w:color w:val="000000"/>
          <w:kern w:val="0"/>
          <w:sz w:val="30"/>
          <w:szCs w:val="30"/>
          <w:shd w:val="clear" w:color="auto" w:fill="FFFFFF"/>
          <w:lang w:bidi="ar"/>
        </w:rPr>
        <w:t>相关系数</w:t>
      </w:r>
      <w:r>
        <w:rPr>
          <w:position w:val="-14"/>
          <w:sz w:val="30"/>
          <w:szCs w:val="30"/>
        </w:rPr>
        <w:object w:dxaOrig="400" w:dyaOrig="387">
          <v:shape id="_x0000_i1075" type="#_x0000_t75" style="width:19.95pt;height:19.25pt" o:ole="">
            <v:imagedata r:id="rId59" o:title=""/>
          </v:shape>
          <o:OLEObject Type="Embed" ProgID="Equation.DSMT4" ShapeID="_x0000_i1075" DrawAspect="Content" ObjectID="_1765373644" r:id="rId100"/>
        </w:object>
      </w:r>
      <w:r>
        <w:rPr>
          <w:rFonts w:ascii="仿宋_GB2312" w:eastAsia="仿宋_GB2312" w:hint="eastAsia"/>
          <w:sz w:val="30"/>
          <w:szCs w:val="30"/>
        </w:rPr>
        <w:t>为表</w:t>
      </w:r>
      <w:r>
        <w:rPr>
          <w:rFonts w:ascii="仿宋_GB2312" w:eastAsia="仿宋_GB2312" w:hint="eastAsia"/>
          <w:sz w:val="30"/>
          <w:szCs w:val="30"/>
        </w:rPr>
        <w:t>2</w:t>
      </w:r>
      <w:r>
        <w:rPr>
          <w:rFonts w:ascii="仿宋_GB2312" w:eastAsia="仿宋_GB2312" w:hint="eastAsia"/>
          <w:sz w:val="30"/>
          <w:szCs w:val="30"/>
        </w:rPr>
        <w:t>中相关系数乘以</w:t>
      </w:r>
      <w:r>
        <w:rPr>
          <w:rFonts w:ascii="仿宋_GB2312" w:eastAsia="仿宋_GB2312" w:hint="eastAsia"/>
          <w:sz w:val="30"/>
          <w:szCs w:val="30"/>
        </w:rPr>
        <w:t>99.90%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d.</w:t>
      </w:r>
      <w:r>
        <w:rPr>
          <w:rFonts w:ascii="仿宋_GB2312" w:eastAsia="仿宋_GB2312" w:hint="eastAsia"/>
          <w:sz w:val="30"/>
          <w:szCs w:val="30"/>
        </w:rPr>
        <w:t>隐含通胀率曲线与无风险利率曲线之间的</w:t>
      </w:r>
      <w:r>
        <w:rPr>
          <w:rFonts w:ascii="仿宋_GB2312" w:eastAsia="仿宋_GB2312" w:cs="仿宋_GB2312" w:hint="eastAsia"/>
          <w:color w:val="000000"/>
          <w:kern w:val="0"/>
          <w:sz w:val="30"/>
          <w:szCs w:val="30"/>
          <w:shd w:val="clear" w:color="auto" w:fill="FFFFFF"/>
          <w:lang w:bidi="ar"/>
        </w:rPr>
        <w:t>相关系数</w:t>
      </w:r>
      <w:r>
        <w:rPr>
          <w:position w:val="-14"/>
          <w:sz w:val="30"/>
          <w:szCs w:val="30"/>
        </w:rPr>
        <w:object w:dxaOrig="400" w:dyaOrig="387">
          <v:shape id="_x0000_i1076" type="#_x0000_t75" style="width:19.95pt;height:19.25pt" o:ole="">
            <v:imagedata r:id="rId59" o:title=""/>
          </v:shape>
          <o:OLEObject Type="Embed" ProgID="Equation.DSMT4" ShapeID="_x0000_i1076" DrawAspect="Content" ObjectID="_1765373645" r:id="rId101"/>
        </w:object>
      </w:r>
      <w:r>
        <w:rPr>
          <w:rFonts w:ascii="仿宋_GB2312" w:eastAsia="仿宋_GB2312" w:hint="eastAsia"/>
          <w:sz w:val="30"/>
          <w:szCs w:val="30"/>
        </w:rPr>
        <w:t>为</w:t>
      </w:r>
      <w:r>
        <w:rPr>
          <w:rFonts w:ascii="仿宋_GB2312" w:eastAsia="仿宋_GB2312" w:hint="eastAsia"/>
          <w:sz w:val="30"/>
          <w:szCs w:val="30"/>
        </w:rPr>
        <w:t>40%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e.</w:t>
      </w:r>
      <w:r>
        <w:rPr>
          <w:rFonts w:ascii="仿宋_GB2312" w:eastAsia="仿宋_GB2312" w:hint="eastAsia"/>
          <w:sz w:val="30"/>
          <w:szCs w:val="30"/>
        </w:rPr>
        <w:t>交叉</w:t>
      </w:r>
      <w:proofErr w:type="gramStart"/>
      <w:r>
        <w:rPr>
          <w:rFonts w:ascii="仿宋_GB2312" w:eastAsia="仿宋_GB2312" w:hint="eastAsia"/>
          <w:sz w:val="30"/>
          <w:szCs w:val="30"/>
        </w:rPr>
        <w:t>货币基差曲线</w:t>
      </w:r>
      <w:proofErr w:type="gramEnd"/>
      <w:r>
        <w:rPr>
          <w:rFonts w:ascii="仿宋_GB2312" w:eastAsia="仿宋_GB2312" w:hint="eastAsia"/>
          <w:sz w:val="30"/>
          <w:szCs w:val="30"/>
        </w:rPr>
        <w:t>与无风险利率曲线、隐含通胀率曲线及其他交叉</w:t>
      </w:r>
      <w:proofErr w:type="gramStart"/>
      <w:r>
        <w:rPr>
          <w:rFonts w:ascii="仿宋_GB2312" w:eastAsia="仿宋_GB2312" w:hint="eastAsia"/>
          <w:sz w:val="30"/>
          <w:szCs w:val="30"/>
        </w:rPr>
        <w:t>货币基差曲线</w:t>
      </w:r>
      <w:proofErr w:type="gramEnd"/>
      <w:r>
        <w:rPr>
          <w:rFonts w:ascii="仿宋_GB2312" w:eastAsia="仿宋_GB2312" w:hint="eastAsia"/>
          <w:sz w:val="30"/>
          <w:szCs w:val="30"/>
        </w:rPr>
        <w:t>之间的</w:t>
      </w:r>
      <w:r>
        <w:rPr>
          <w:rFonts w:ascii="仿宋_GB2312" w:eastAsia="仿宋_GB2312" w:cs="仿宋_GB2312" w:hint="eastAsia"/>
          <w:color w:val="000000"/>
          <w:kern w:val="0"/>
          <w:sz w:val="30"/>
          <w:szCs w:val="30"/>
          <w:shd w:val="clear" w:color="auto" w:fill="FFFFFF"/>
          <w:lang w:bidi="ar"/>
        </w:rPr>
        <w:t>相关系数</w:t>
      </w:r>
      <w:r>
        <w:rPr>
          <w:position w:val="-14"/>
          <w:sz w:val="30"/>
          <w:szCs w:val="30"/>
        </w:rPr>
        <w:object w:dxaOrig="400" w:dyaOrig="387">
          <v:shape id="_x0000_i1077" type="#_x0000_t75" style="width:19.95pt;height:19.25pt" o:ole="">
            <v:imagedata r:id="rId59" o:title=""/>
          </v:shape>
          <o:OLEObject Type="Embed" ProgID="Equation.DSMT4" ShapeID="_x0000_i1077" DrawAspect="Content" ObjectID="_1765373646" r:id="rId102"/>
        </w:object>
      </w:r>
      <w:r>
        <w:rPr>
          <w:rFonts w:ascii="仿宋_GB2312" w:eastAsia="仿宋_GB2312" w:hint="eastAsia"/>
          <w:sz w:val="30"/>
          <w:szCs w:val="30"/>
        </w:rPr>
        <w:t>是</w:t>
      </w:r>
      <w:r>
        <w:rPr>
          <w:rFonts w:ascii="仿宋_GB2312" w:eastAsia="仿宋_GB2312" w:hint="eastAsia"/>
          <w:sz w:val="30"/>
          <w:szCs w:val="30"/>
        </w:rPr>
        <w:t>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）计算得尔塔敏感度</w:t>
      </w:r>
      <w:proofErr w:type="gramStart"/>
      <w:r>
        <w:rPr>
          <w:rFonts w:ascii="仿宋_GB2312" w:eastAsia="仿宋_GB2312" w:cs="仿宋_GB2312" w:hint="eastAsia"/>
          <w:color w:val="000000"/>
          <w:kern w:val="0"/>
          <w:sz w:val="30"/>
          <w:szCs w:val="30"/>
          <w:shd w:val="clear" w:color="auto" w:fill="FFFFFF"/>
          <w:lang w:bidi="ar"/>
        </w:rPr>
        <w:t>和维伽敏感度</w:t>
      </w:r>
      <w:proofErr w:type="gramEnd"/>
      <w:r>
        <w:rPr>
          <w:rFonts w:ascii="仿宋_GB2312" w:eastAsia="仿宋_GB2312" w:cs="仿宋_GB2312" w:hint="eastAsia"/>
          <w:color w:val="000000"/>
          <w:kern w:val="0"/>
          <w:sz w:val="30"/>
          <w:szCs w:val="30"/>
          <w:shd w:val="clear" w:color="auto" w:fill="FFFFFF"/>
          <w:lang w:bidi="ar"/>
        </w:rPr>
        <w:t>资本要求时，不同风险组间的相关系数</w:t>
      </w:r>
      <w:r>
        <w:rPr>
          <w:position w:val="-12"/>
          <w:sz w:val="30"/>
          <w:szCs w:val="30"/>
        </w:rPr>
        <w:object w:dxaOrig="360" w:dyaOrig="360">
          <v:shape id="_x0000_i1078" type="#_x0000_t75" style="width:18.2pt;height:18.2pt" o:ole="">
            <v:imagedata r:id="rId18" o:title=""/>
          </v:shape>
          <o:OLEObject Type="Embed" ProgID="Equation.DSMT4" ShapeID="_x0000_i1078" DrawAspect="Content" ObjectID="_1765373647" r:id="rId103"/>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50%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hint="eastAsia"/>
          <w:sz w:val="30"/>
          <w:szCs w:val="30"/>
        </w:rPr>
        <w:t>的</w:t>
      </w:r>
      <w:r>
        <w:rPr>
          <w:rFonts w:ascii="仿宋_GB2312" w:eastAsia="仿宋_GB2312" w:cs="仿宋_GB2312" w:hint="eastAsia"/>
          <w:color w:val="000000"/>
          <w:kern w:val="0"/>
          <w:sz w:val="30"/>
          <w:szCs w:val="30"/>
          <w:shd w:val="clear" w:color="auto" w:fill="FFFFFF"/>
          <w:lang w:bidi="ar"/>
        </w:rPr>
        <w:t>风险权重为</w:t>
      </w:r>
      <w:r>
        <w:rPr>
          <w:rFonts w:ascii="仿宋_GB2312" w:eastAsia="仿宋_GB2312" w:cs="仿宋_GB2312" w:hint="eastAsia"/>
          <w:color w:val="000000"/>
          <w:kern w:val="0"/>
          <w:sz w:val="30"/>
          <w:szCs w:val="30"/>
          <w:shd w:val="clear" w:color="auto" w:fill="FFFFFF"/>
          <w:lang w:bidi="ar"/>
        </w:rPr>
        <w:t>100%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计算维伽敏感度</w:t>
      </w:r>
      <w:proofErr w:type="gramEnd"/>
      <w:r>
        <w:rPr>
          <w:rFonts w:ascii="仿宋_GB2312" w:eastAsia="仿宋_GB2312" w:cs="仿宋_GB2312" w:hint="eastAsia"/>
          <w:color w:val="000000"/>
          <w:kern w:val="0"/>
          <w:sz w:val="30"/>
          <w:szCs w:val="30"/>
          <w:shd w:val="clear" w:color="auto" w:fill="FFFFFF"/>
          <w:lang w:bidi="ar"/>
        </w:rPr>
        <w:t>风险头寸时，同一个风险组内的相关系数</w:t>
      </w:r>
      <w:r>
        <w:rPr>
          <w:position w:val="-14"/>
          <w:sz w:val="30"/>
          <w:szCs w:val="30"/>
        </w:rPr>
        <w:object w:dxaOrig="400" w:dyaOrig="387">
          <v:shape id="_x0000_i1079" type="#_x0000_t75" style="width:19.95pt;height:19.25pt" o:ole="">
            <v:imagedata r:id="rId59" o:title=""/>
          </v:shape>
          <o:OLEObject Type="Embed" ProgID="Equation.DSMT4" ShapeID="_x0000_i1079" DrawAspect="Content" ObjectID="_1765373648" r:id="rId104"/>
        </w:object>
      </w:r>
      <w:r>
        <w:rPr>
          <w:rFonts w:ascii="仿宋_GB2312" w:eastAsia="仿宋_GB2312" w:hint="eastAsia"/>
          <w:sz w:val="30"/>
          <w:szCs w:val="30"/>
        </w:rPr>
        <w:t>计算公式如下</w:t>
      </w:r>
      <w:r>
        <w:rPr>
          <w:rFonts w:ascii="仿宋_GB2312" w:eastAsia="仿宋_GB2312" w:cs="仿宋_GB2312" w:hint="eastAsia"/>
          <w:color w:val="000000"/>
          <w:kern w:val="0"/>
          <w:sz w:val="30"/>
          <w:szCs w:val="30"/>
          <w:shd w:val="clear" w:color="auto" w:fill="FFFFFF"/>
          <w:lang w:bidi="ar"/>
        </w:rPr>
        <w:t>：</w:t>
      </w:r>
    </w:p>
    <w:p w:rsidR="004165E8" w:rsidRDefault="00A108D9">
      <w:pPr>
        <w:widowControl/>
        <w:jc w:val="center"/>
        <w:rPr>
          <w:rFonts w:ascii="仿宋_GB2312" w:eastAsia="仿宋_GB2312" w:cs="仿宋_GB2312"/>
          <w:color w:val="000000"/>
          <w:kern w:val="0"/>
          <w:sz w:val="30"/>
          <w:szCs w:val="30"/>
          <w:shd w:val="clear" w:color="auto" w:fill="FFFFFF"/>
          <w:lang w:bidi="ar"/>
        </w:rPr>
      </w:pPr>
      <m:oMathPara>
        <m:oMath>
          <m:sSub>
            <m:sSubPr>
              <m:ctrlPr>
                <w:rPr>
                  <w:rFonts w:ascii="Cambria Math" w:hAnsi="Cambria Math"/>
                  <w:i/>
                  <w:sz w:val="30"/>
                  <w:szCs w:val="30"/>
                </w:rPr>
              </m:ctrlPr>
            </m:sSubPr>
            <m:e>
              <m:r>
                <w:rPr>
                  <w:rFonts w:ascii="Cambria Math"/>
                  <w:sz w:val="30"/>
                  <w:szCs w:val="30"/>
                </w:rPr>
                <m:t>ρ</m:t>
              </m:r>
            </m:e>
            <m:sub>
              <m:r>
                <w:rPr>
                  <w:rFonts w:ascii="Cambria Math"/>
                  <w:sz w:val="30"/>
                  <w:szCs w:val="30"/>
                </w:rPr>
                <m:t>kl</m:t>
              </m:r>
            </m:sub>
          </m:sSub>
          <m:r>
            <w:rPr>
              <w:rFonts w:ascii="Cambria Math"/>
              <w:sz w:val="30"/>
              <w:szCs w:val="30"/>
            </w:rPr>
            <m:t>=</m:t>
          </m:r>
          <m:func>
            <m:funcPr>
              <m:ctrlPr>
                <w:rPr>
                  <w:rFonts w:ascii="Cambria Math" w:hAnsi="Cambria Math"/>
                  <w:i/>
                  <w:sz w:val="30"/>
                  <w:szCs w:val="30"/>
                </w:rPr>
              </m:ctrlPr>
            </m:funcPr>
            <m:fName>
              <m:r>
                <w:rPr>
                  <w:rFonts w:ascii="Cambria Math"/>
                  <w:sz w:val="30"/>
                  <w:szCs w:val="30"/>
                </w:rPr>
                <m:t>min</m:t>
              </m:r>
            </m:fName>
            <m:e>
              <m:d>
                <m:dPr>
                  <m:begChr m:val="["/>
                  <m:endChr m:val="]"/>
                  <m:ctrlPr>
                    <w:rPr>
                      <w:rFonts w:ascii="Cambria Math" w:hAnsi="Cambria Math"/>
                      <w:i/>
                      <w:sz w:val="30"/>
                      <w:szCs w:val="30"/>
                    </w:rPr>
                  </m:ctrlPr>
                </m:dPr>
                <m:e>
                  <m:sSubSup>
                    <m:sSubSupPr>
                      <m:ctrlPr>
                        <w:rPr>
                          <w:rFonts w:ascii="Cambria Math" w:hAnsi="Cambria Math"/>
                          <w:i/>
                          <w:sz w:val="30"/>
                          <w:szCs w:val="30"/>
                        </w:rPr>
                      </m:ctrlPr>
                    </m:sSubSupPr>
                    <m:e>
                      <m:r>
                        <w:rPr>
                          <w:rFonts w:ascii="Cambria Math"/>
                          <w:sz w:val="30"/>
                          <w:szCs w:val="30"/>
                        </w:rPr>
                        <m:t>ρ</m:t>
                      </m:r>
                    </m:e>
                    <m:sub>
                      <m:r>
                        <w:rPr>
                          <w:rFonts w:ascii="Cambria Math"/>
                          <w:sz w:val="30"/>
                          <w:szCs w:val="30"/>
                        </w:rPr>
                        <m:t>kl</m:t>
                      </m:r>
                    </m:sub>
                    <m:sup>
                      <m:r>
                        <w:rPr>
                          <w:rFonts w:ascii="Cambria Math"/>
                          <w:sz w:val="30"/>
                          <w:szCs w:val="30"/>
                        </w:rPr>
                        <m:t>(</m:t>
                      </m:r>
                      <m:r>
                        <w:rPr>
                          <w:rFonts w:ascii="Cambria Math"/>
                          <w:sz w:val="30"/>
                          <w:szCs w:val="30"/>
                        </w:rPr>
                        <m:t>option</m:t>
                      </m:r>
                      <m:r>
                        <w:rPr>
                          <w:rFonts w:ascii="Cambria Math"/>
                          <w:sz w:val="30"/>
                          <w:szCs w:val="30"/>
                        </w:rPr>
                        <m:t xml:space="preserve"> </m:t>
                      </m:r>
                      <m:r>
                        <w:rPr>
                          <w:rFonts w:ascii="Cambria Math"/>
                          <w:sz w:val="30"/>
                          <w:szCs w:val="30"/>
                        </w:rPr>
                        <m:t>maturity</m:t>
                      </m:r>
                      <m:r>
                        <w:rPr>
                          <w:rFonts w:ascii="Cambria Math"/>
                          <w:sz w:val="30"/>
                          <w:szCs w:val="30"/>
                        </w:rPr>
                        <m:t>)</m:t>
                      </m:r>
                    </m:sup>
                  </m:sSubSup>
                  <m:r>
                    <w:rPr>
                      <w:rFonts w:ascii="MS Mincho" w:eastAsia="MS Mincho" w:hAnsi="MS Mincho" w:cs="MS Mincho" w:hint="eastAsia"/>
                      <w:sz w:val="30"/>
                      <w:szCs w:val="30"/>
                    </w:rPr>
                    <m:t>⋅</m:t>
                  </m:r>
                  <m:sSubSup>
                    <m:sSubSupPr>
                      <m:ctrlPr>
                        <w:rPr>
                          <w:rFonts w:ascii="Cambria Math" w:hAnsi="Cambria Math"/>
                          <w:i/>
                          <w:sz w:val="30"/>
                          <w:szCs w:val="30"/>
                        </w:rPr>
                      </m:ctrlPr>
                    </m:sSubSupPr>
                    <m:e>
                      <m:r>
                        <w:rPr>
                          <w:rFonts w:ascii="Cambria Math"/>
                          <w:sz w:val="30"/>
                          <w:szCs w:val="30"/>
                        </w:rPr>
                        <m:t>ρ</m:t>
                      </m:r>
                    </m:e>
                    <m:sub>
                      <m:r>
                        <w:rPr>
                          <w:rFonts w:ascii="Cambria Math"/>
                          <w:sz w:val="30"/>
                          <w:szCs w:val="30"/>
                        </w:rPr>
                        <m:t>kl</m:t>
                      </m:r>
                    </m:sub>
                    <m:sup>
                      <m:d>
                        <m:dPr>
                          <m:ctrlPr>
                            <w:rPr>
                              <w:rFonts w:ascii="Cambria Math" w:hAnsi="Cambria Math"/>
                              <w:i/>
                              <w:sz w:val="30"/>
                              <w:szCs w:val="30"/>
                            </w:rPr>
                          </m:ctrlPr>
                        </m:dPr>
                        <m:e>
                          <m:r>
                            <w:rPr>
                              <w:rFonts w:ascii="Cambria Math"/>
                              <w:sz w:val="30"/>
                              <w:szCs w:val="30"/>
                            </w:rPr>
                            <m:t>underlying</m:t>
                          </m:r>
                          <m:r>
                            <w:rPr>
                              <w:rFonts w:ascii="Cambria Math"/>
                              <w:sz w:val="30"/>
                              <w:szCs w:val="30"/>
                            </w:rPr>
                            <m:t xml:space="preserve"> </m:t>
                          </m:r>
                          <m:r>
                            <w:rPr>
                              <w:rFonts w:ascii="Cambria Math"/>
                              <w:sz w:val="30"/>
                              <w:szCs w:val="30"/>
                            </w:rPr>
                            <m:t>maturi</m:t>
                          </m:r>
                          <m:r>
                            <w:rPr>
                              <w:rFonts w:ascii="Cambria Math"/>
                              <w:sz w:val="30"/>
                              <w:szCs w:val="30"/>
                            </w:rPr>
                            <m:t>t</m:t>
                          </m:r>
                          <m:r>
                            <w:rPr>
                              <w:rFonts w:ascii="Cambria Math"/>
                              <w:sz w:val="30"/>
                              <w:szCs w:val="30"/>
                            </w:rPr>
                            <m:t>y</m:t>
                          </m:r>
                        </m:e>
                      </m:d>
                    </m:sup>
                  </m:sSubSup>
                  <m:r>
                    <w:rPr>
                      <w:rFonts w:ascii="Cambria Math"/>
                      <w:sz w:val="30"/>
                      <w:szCs w:val="30"/>
                    </w:rPr>
                    <m:t>,1</m:t>
                  </m:r>
                </m:e>
              </m:d>
            </m:e>
          </m:func>
        </m:oMath>
      </m:oMathPara>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其中：</w:t>
      </w:r>
    </w:p>
    <w:p w:rsidR="004165E8" w:rsidRDefault="00A108D9">
      <w:pPr>
        <w:ind w:firstLineChars="200" w:firstLine="600"/>
        <w:rPr>
          <w:rFonts w:ascii="仿宋_GB2312" w:eastAsia="仿宋_GB2312" w:cs="仿宋_GB2312"/>
          <w:color w:val="000000"/>
          <w:kern w:val="0"/>
          <w:sz w:val="30"/>
          <w:szCs w:val="30"/>
          <w:shd w:val="clear" w:color="auto" w:fill="FFFFFF"/>
          <w:lang w:bidi="ar"/>
        </w:rPr>
      </w:pPr>
      <w:proofErr w:type="gramStart"/>
      <w:r>
        <w:rPr>
          <w:rFonts w:ascii="仿宋_GB2312" w:eastAsia="仿宋_GB2312" w:cs="仿宋_GB2312"/>
          <w:color w:val="000000"/>
          <w:kern w:val="0"/>
          <w:sz w:val="30"/>
          <w:szCs w:val="30"/>
          <w:shd w:val="clear" w:color="auto" w:fill="FFFFFF"/>
          <w:lang w:bidi="ar"/>
        </w:rPr>
        <w:t>a.</w:t>
      </w:r>
      <w:proofErr w:type="gramEnd"/>
      <w:r>
        <w:rPr>
          <w:position w:val="-12"/>
          <w:sz w:val="30"/>
          <w:szCs w:val="30"/>
        </w:rPr>
        <w:object w:dxaOrig="1360" w:dyaOrig="400">
          <v:shape id="_x0000_i1080" type="#_x0000_t75" style="width:68.1pt;height:19.95pt" o:ole="">
            <v:imagedata r:id="rId105" o:title=""/>
          </v:shape>
          <o:OLEObject Type="Embed" ProgID="Equation.DSMT4" ShapeID="_x0000_i1080" DrawAspect="Content" ObjectID="_1765373649" r:id="rId106"/>
        </w:object>
      </w:r>
      <w:r>
        <w:rPr>
          <w:rFonts w:ascii="仿宋_GB2312" w:eastAsia="仿宋_GB2312" w:cs="仿宋_GB2312" w:hint="eastAsia"/>
          <w:color w:val="000000"/>
          <w:kern w:val="0"/>
          <w:sz w:val="30"/>
          <w:szCs w:val="30"/>
          <w:shd w:val="clear" w:color="auto" w:fill="FFFFFF"/>
          <w:lang w:bidi="ar"/>
        </w:rPr>
        <w:t>等于</w:t>
      </w:r>
      <m:oMath>
        <m:sSup>
          <m:sSupPr>
            <m:ctrlPr>
              <w:rPr>
                <w:rFonts w:ascii="Cambria Math" w:eastAsia="仿宋_GB2312" w:hAnsi="Cambria Math" w:cs="仿宋_GB2312" w:hint="eastAsia"/>
                <w:color w:val="000000"/>
                <w:kern w:val="0"/>
                <w:sz w:val="30"/>
                <w:szCs w:val="30"/>
                <w:shd w:val="clear" w:color="auto" w:fill="FFFFFF"/>
                <w:lang w:bidi="ar"/>
              </w:rPr>
            </m:ctrlPr>
          </m:sSupPr>
          <m:e>
            <m:r>
              <w:rPr>
                <w:rFonts w:ascii="Cambria Math" w:eastAsia="仿宋_GB2312" w:hAnsi="Cambria Math" w:cs="仿宋_GB2312"/>
                <w:color w:val="000000"/>
                <w:kern w:val="0"/>
                <w:sz w:val="30"/>
                <w:szCs w:val="30"/>
                <w:shd w:val="clear" w:color="auto" w:fill="FFFFFF"/>
                <w:lang w:bidi="ar"/>
              </w:rPr>
              <m:t>e</m:t>
            </m:r>
          </m:e>
          <m:sup>
            <m:r>
              <w:rPr>
                <w:rFonts w:ascii="微软雅黑" w:eastAsia="微软雅黑" w:hAnsi="微软雅黑" w:cs="微软雅黑"/>
                <w:color w:val="000000"/>
                <w:kern w:val="0"/>
                <w:sz w:val="30"/>
                <w:szCs w:val="30"/>
                <w:shd w:val="clear" w:color="auto" w:fill="FFFFFF"/>
                <w:lang w:bidi="ar"/>
              </w:rPr>
              <m:t>-</m:t>
            </m:r>
            <m:r>
              <w:rPr>
                <w:rFonts w:ascii="Cambria Math" w:eastAsia="仿宋_GB2312" w:hAnsi="Cambria Math" w:cs="仿宋_GB2312"/>
                <w:color w:val="000000"/>
                <w:kern w:val="0"/>
                <w:sz w:val="30"/>
                <w:szCs w:val="30"/>
                <w:shd w:val="clear" w:color="auto" w:fill="FFFFFF"/>
                <w:lang w:bidi="ar"/>
              </w:rPr>
              <m:t>α</m:t>
            </m:r>
            <m:r>
              <w:rPr>
                <w:rFonts w:ascii="微软雅黑" w:eastAsia="微软雅黑" w:hAnsi="微软雅黑" w:cs="微软雅黑"/>
                <w:color w:val="000000"/>
                <w:kern w:val="0"/>
                <w:sz w:val="30"/>
                <w:szCs w:val="30"/>
                <w:shd w:val="clear" w:color="auto" w:fill="FFFFFF"/>
                <w:lang w:bidi="ar"/>
              </w:rPr>
              <m:t>∙</m:t>
            </m:r>
            <m:f>
              <m:fPr>
                <m:ctrlPr>
                  <w:rPr>
                    <w:rFonts w:ascii="Cambria Math" w:eastAsia="仿宋_GB2312" w:hAnsi="Cambria Math" w:cs="仿宋_GB2312" w:hint="eastAsia"/>
                    <w:i/>
                    <w:color w:val="000000"/>
                    <w:kern w:val="0"/>
                    <w:sz w:val="30"/>
                    <w:szCs w:val="30"/>
                    <w:shd w:val="clear" w:color="auto" w:fill="FFFFFF"/>
                    <w:lang w:bidi="ar"/>
                  </w:rPr>
                </m:ctrlPr>
              </m:fPr>
              <m:num>
                <m:d>
                  <m:dPr>
                    <m:begChr m:val="|"/>
                    <m:endChr m:val="|"/>
                    <m:ctrlPr>
                      <w:rPr>
                        <w:rFonts w:ascii="Cambria Math" w:eastAsia="仿宋_GB2312" w:hAnsi="Cambria Math" w:cs="仿宋_GB2312" w:hint="eastAsia"/>
                        <w:i/>
                        <w:color w:val="000000"/>
                        <w:kern w:val="0"/>
                        <w:sz w:val="30"/>
                        <w:szCs w:val="30"/>
                        <w:shd w:val="clear" w:color="auto" w:fill="FFFFFF"/>
                        <w:lang w:bidi="ar"/>
                      </w:rPr>
                    </m:ctrlPr>
                  </m:dPr>
                  <m:e>
                    <m:sSub>
                      <m:sSubPr>
                        <m:ctrlPr>
                          <w:rPr>
                            <w:rFonts w:ascii="Cambria Math" w:eastAsia="仿宋_GB2312" w:hAnsi="Cambria Math" w:cs="仿宋_GB2312" w:hint="eastAsia"/>
                            <w:i/>
                            <w:color w:val="000000"/>
                            <w:kern w:val="0"/>
                            <w:sz w:val="30"/>
                            <w:szCs w:val="30"/>
                            <w:shd w:val="clear" w:color="auto" w:fill="FFFFFF"/>
                            <w:lang w:bidi="ar"/>
                          </w:rPr>
                        </m:ctrlPr>
                      </m:sSubPr>
                      <m:e>
                        <m:r>
                          <w:rPr>
                            <w:rFonts w:ascii="Cambria Math" w:eastAsia="仿宋_GB2312" w:hAnsi="Cambria Math" w:cs="仿宋_GB2312"/>
                            <w:color w:val="000000"/>
                            <w:kern w:val="0"/>
                            <w:sz w:val="30"/>
                            <w:szCs w:val="30"/>
                            <w:shd w:val="clear" w:color="auto" w:fill="FFFFFF"/>
                            <w:lang w:bidi="ar"/>
                          </w:rPr>
                          <m:t>T</m:t>
                        </m:r>
                      </m:e>
                      <m:sub>
                        <m:r>
                          <w:rPr>
                            <w:rFonts w:ascii="Cambria Math" w:eastAsia="仿宋_GB2312" w:hAnsi="Cambria Math" w:cs="仿宋_GB2312"/>
                            <w:color w:val="000000"/>
                            <w:kern w:val="0"/>
                            <w:sz w:val="30"/>
                            <w:szCs w:val="30"/>
                            <w:shd w:val="clear" w:color="auto" w:fill="FFFFFF"/>
                            <w:lang w:bidi="ar"/>
                          </w:rPr>
                          <m:t>k</m:t>
                        </m:r>
                      </m:sub>
                    </m:sSub>
                    <m:r>
                      <w:rPr>
                        <w:rFonts w:ascii="微软雅黑" w:eastAsia="微软雅黑" w:hAnsi="微软雅黑" w:cs="微软雅黑"/>
                        <w:color w:val="000000"/>
                        <w:kern w:val="0"/>
                        <w:sz w:val="30"/>
                        <w:szCs w:val="30"/>
                        <w:shd w:val="clear" w:color="auto" w:fill="FFFFFF"/>
                        <w:lang w:bidi="ar"/>
                      </w:rPr>
                      <m:t>-</m:t>
                    </m:r>
                    <m:sSub>
                      <m:sSubPr>
                        <m:ctrlPr>
                          <w:rPr>
                            <w:rFonts w:ascii="Cambria Math" w:eastAsia="仿宋_GB2312" w:hAnsi="Cambria Math" w:cs="MS Mincho" w:hint="eastAsia"/>
                            <w:i/>
                            <w:color w:val="000000"/>
                            <w:kern w:val="0"/>
                            <w:sz w:val="30"/>
                            <w:szCs w:val="30"/>
                            <w:shd w:val="clear" w:color="auto" w:fill="FFFFFF"/>
                            <w:lang w:bidi="ar"/>
                          </w:rPr>
                        </m:ctrlPr>
                      </m:sSubPr>
                      <m:e>
                        <m:r>
                          <w:rPr>
                            <w:rFonts w:ascii="Cambria Math" w:eastAsia="仿宋_GB2312" w:hAnsi="Cambria Math" w:cs="MS Mincho"/>
                            <w:color w:val="000000"/>
                            <w:kern w:val="0"/>
                            <w:sz w:val="30"/>
                            <w:szCs w:val="30"/>
                            <w:shd w:val="clear" w:color="auto" w:fill="FFFFFF"/>
                            <w:lang w:bidi="ar"/>
                          </w:rPr>
                          <m:t>T</m:t>
                        </m:r>
                      </m:e>
                      <m:sub>
                        <m:r>
                          <w:rPr>
                            <w:rFonts w:ascii="Cambria Math" w:eastAsia="仿宋_GB2312" w:hAnsi="Cambria Math" w:cs="MS Mincho"/>
                            <w:color w:val="000000"/>
                            <w:kern w:val="0"/>
                            <w:sz w:val="30"/>
                            <w:szCs w:val="30"/>
                            <w:shd w:val="clear" w:color="auto" w:fill="FFFFFF"/>
                            <w:lang w:bidi="ar"/>
                          </w:rPr>
                          <m:t>l</m:t>
                        </m:r>
                      </m:sub>
                    </m:sSub>
                  </m:e>
                </m:d>
              </m:num>
              <m:den>
                <m:r>
                  <m:rPr>
                    <m:sty m:val="p"/>
                  </m:rPr>
                  <w:rPr>
                    <w:rFonts w:ascii="Cambria Math" w:eastAsia="仿宋_GB2312" w:hAnsi="Cambria Math" w:cs="仿宋_GB2312"/>
                    <w:color w:val="000000"/>
                    <w:kern w:val="0"/>
                    <w:sz w:val="30"/>
                    <w:szCs w:val="30"/>
                    <w:shd w:val="clear" w:color="auto" w:fill="FFFFFF"/>
                    <w:lang w:bidi="ar"/>
                  </w:rPr>
                  <m:t>min</m:t>
                </m:r>
                <m:r>
                  <m:rPr>
                    <m:sty m:val="p"/>
                  </m:rPr>
                  <w:rPr>
                    <w:rFonts w:ascii="Cambria Math" w:eastAsia="仿宋_GB2312" w:hAnsi="Cambria Math" w:cs="Cambria Math"/>
                    <w:color w:val="000000"/>
                    <w:kern w:val="0"/>
                    <w:sz w:val="30"/>
                    <w:szCs w:val="30"/>
                    <w:shd w:val="clear" w:color="auto" w:fill="FFFFFF"/>
                    <w:lang w:bidi="ar"/>
                  </w:rPr>
                  <m:t>⁡</m:t>
                </m:r>
                <m:r>
                  <w:rPr>
                    <w:rFonts w:ascii="Cambria Math" w:eastAsia="仿宋_GB2312" w:hAnsi="Cambria Math" w:cs="仿宋_GB2312" w:hint="eastAsia"/>
                    <w:color w:val="000000"/>
                    <w:kern w:val="0"/>
                    <w:sz w:val="30"/>
                    <w:szCs w:val="30"/>
                    <w:shd w:val="clear" w:color="auto" w:fill="FFFFFF"/>
                    <w:lang w:bidi="ar"/>
                  </w:rPr>
                  <m:t>（</m:t>
                </m:r>
                <m:sSub>
                  <m:sSubPr>
                    <m:ctrlPr>
                      <w:rPr>
                        <w:rFonts w:ascii="Cambria Math" w:eastAsia="仿宋_GB2312" w:hAnsi="Cambria Math" w:cs="仿宋_GB2312" w:hint="eastAsia"/>
                        <w:i/>
                        <w:color w:val="000000"/>
                        <w:kern w:val="0"/>
                        <w:sz w:val="30"/>
                        <w:szCs w:val="30"/>
                        <w:shd w:val="clear" w:color="auto" w:fill="FFFFFF"/>
                        <w:lang w:bidi="ar"/>
                      </w:rPr>
                    </m:ctrlPr>
                  </m:sSubPr>
                  <m:e>
                    <m:r>
                      <w:rPr>
                        <w:rFonts w:ascii="Cambria Math" w:eastAsia="仿宋_GB2312" w:hAnsi="Cambria Math" w:cs="仿宋_GB2312"/>
                        <w:color w:val="000000"/>
                        <w:kern w:val="0"/>
                        <w:sz w:val="30"/>
                        <w:szCs w:val="30"/>
                        <w:shd w:val="clear" w:color="auto" w:fill="FFFFFF"/>
                        <w:lang w:bidi="ar"/>
                      </w:rPr>
                      <m:t>T</m:t>
                    </m:r>
                  </m:e>
                  <m:sub>
                    <m:r>
                      <w:rPr>
                        <w:rFonts w:ascii="Cambria Math" w:eastAsia="仿宋_GB2312" w:hAnsi="Cambria Math" w:cs="仿宋_GB2312"/>
                        <w:color w:val="000000"/>
                        <w:kern w:val="0"/>
                        <w:sz w:val="30"/>
                        <w:szCs w:val="30"/>
                        <w:shd w:val="clear" w:color="auto" w:fill="FFFFFF"/>
                        <w:lang w:bidi="ar"/>
                      </w:rPr>
                      <m:t>k</m:t>
                    </m:r>
                  </m:sub>
                </m:sSub>
                <m:r>
                  <w:rPr>
                    <w:rFonts w:ascii="Cambria Math" w:eastAsia="仿宋_GB2312" w:hAnsi="Cambria Math" w:cs="仿宋_GB2312" w:hint="eastAsia"/>
                    <w:color w:val="000000"/>
                    <w:kern w:val="0"/>
                    <w:sz w:val="30"/>
                    <w:szCs w:val="30"/>
                    <w:shd w:val="clear" w:color="auto" w:fill="FFFFFF"/>
                    <w:lang w:bidi="ar"/>
                  </w:rPr>
                  <m:t>，</m:t>
                </m:r>
                <m:sSub>
                  <m:sSubPr>
                    <m:ctrlPr>
                      <w:rPr>
                        <w:rFonts w:ascii="Cambria Math" w:eastAsia="仿宋_GB2312" w:hAnsi="Cambria Math" w:cs="仿宋_GB2312" w:hint="eastAsia"/>
                        <w:i/>
                        <w:color w:val="000000"/>
                        <w:kern w:val="0"/>
                        <w:sz w:val="30"/>
                        <w:szCs w:val="30"/>
                        <w:shd w:val="clear" w:color="auto" w:fill="FFFFFF"/>
                        <w:lang w:bidi="ar"/>
                      </w:rPr>
                    </m:ctrlPr>
                  </m:sSubPr>
                  <m:e>
                    <m:r>
                      <w:rPr>
                        <w:rFonts w:ascii="Cambria Math" w:eastAsia="仿宋_GB2312" w:hAnsi="Cambria Math" w:cs="仿宋_GB2312"/>
                        <w:color w:val="000000"/>
                        <w:kern w:val="0"/>
                        <w:sz w:val="30"/>
                        <w:szCs w:val="30"/>
                        <w:shd w:val="clear" w:color="auto" w:fill="FFFFFF"/>
                        <w:lang w:bidi="ar"/>
                      </w:rPr>
                      <m:t>T</m:t>
                    </m:r>
                  </m:e>
                  <m:sub>
                    <m:r>
                      <w:rPr>
                        <w:rFonts w:ascii="Cambria Math" w:eastAsia="仿宋_GB2312" w:hAnsi="Cambria Math" w:cs="仿宋_GB2312"/>
                        <w:color w:val="000000"/>
                        <w:kern w:val="0"/>
                        <w:sz w:val="30"/>
                        <w:szCs w:val="30"/>
                        <w:shd w:val="clear" w:color="auto" w:fill="FFFFFF"/>
                        <w:lang w:bidi="ar"/>
                      </w:rPr>
                      <m:t>l</m:t>
                    </m:r>
                  </m:sub>
                </m:sSub>
                <m:r>
                  <w:rPr>
                    <w:rFonts w:ascii="Cambria Math" w:eastAsia="仿宋_GB2312" w:hAnsi="Cambria Math" w:cs="仿宋_GB2312" w:hint="eastAsia"/>
                    <w:color w:val="000000"/>
                    <w:kern w:val="0"/>
                    <w:sz w:val="30"/>
                    <w:szCs w:val="30"/>
                    <w:shd w:val="clear" w:color="auto" w:fill="FFFFFF"/>
                    <w:lang w:bidi="ar"/>
                  </w:rPr>
                  <m:t>）</m:t>
                </m:r>
              </m:den>
            </m:f>
          </m:sup>
        </m:sSup>
      </m:oMath>
      <w:r>
        <w:rPr>
          <w:rFonts w:ascii="仿宋_GB2312" w:eastAsia="仿宋_GB2312" w:cs="仿宋_GB2312" w:hint="eastAsia"/>
          <w:color w:val="000000"/>
          <w:kern w:val="0"/>
          <w:sz w:val="30"/>
          <w:szCs w:val="30"/>
          <w:shd w:val="clear" w:color="auto" w:fill="FFFFFF"/>
          <w:lang w:bidi="ar"/>
        </w:rPr>
        <w:t>。</w:t>
      </w:r>
    </w:p>
    <w:p w:rsidR="004165E8" w:rsidRDefault="00A108D9">
      <w:pPr>
        <w:ind w:firstLineChars="200" w:firstLine="600"/>
        <w:rPr>
          <w:rFonts w:ascii="仿宋_GB2312" w:eastAsia="仿宋_GB2312" w:cs="仿宋_GB2312"/>
          <w:color w:val="000000"/>
          <w:kern w:val="0"/>
          <w:sz w:val="30"/>
          <w:szCs w:val="30"/>
          <w:shd w:val="clear" w:color="auto" w:fill="FFFFFF"/>
          <w:lang w:bidi="ar"/>
        </w:rPr>
      </w:pPr>
      <w:proofErr w:type="gramStart"/>
      <w:r>
        <w:rPr>
          <w:rFonts w:ascii="仿宋_GB2312" w:eastAsia="仿宋_GB2312" w:cs="仿宋_GB2312"/>
          <w:color w:val="000000"/>
          <w:kern w:val="0"/>
          <w:sz w:val="30"/>
          <w:szCs w:val="30"/>
          <w:shd w:val="clear" w:color="auto" w:fill="FFFFFF"/>
          <w:lang w:bidi="ar"/>
        </w:rPr>
        <w:t>b</w:t>
      </w:r>
      <w:proofErr w:type="gramEnd"/>
      <w:r>
        <w:rPr>
          <w:rFonts w:ascii="仿宋_GB2312" w:eastAsia="仿宋_GB2312" w:cs="仿宋_GB2312"/>
          <w:color w:val="000000"/>
          <w:kern w:val="0"/>
          <w:sz w:val="30"/>
          <w:szCs w:val="30"/>
          <w:shd w:val="clear" w:color="auto" w:fill="FFFFFF"/>
          <w:lang w:bidi="ar"/>
        </w:rPr>
        <w:t>.</w:t>
      </w:r>
      <w:r w:rsidR="00052136" w:rsidRPr="00052136">
        <w:rPr>
          <w:noProof/>
        </w:rPr>
        <w:t xml:space="preserve"> </w:t>
      </w:r>
      <w:r w:rsidR="00052136">
        <w:rPr>
          <w:noProof/>
        </w:rPr>
        <w:drawing>
          <wp:inline distT="0" distB="0" distL="0" distR="0" wp14:anchorId="6DA48020" wp14:editId="18D90A88">
            <wp:extent cx="1099806" cy="277262"/>
            <wp:effectExtent l="0" t="0" r="571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126044" cy="283877"/>
                    </a:xfrm>
                    <a:prstGeom prst="rect">
                      <a:avLst/>
                    </a:prstGeom>
                  </pic:spPr>
                </pic:pic>
              </a:graphicData>
            </a:graphic>
          </wp:inline>
        </w:drawing>
      </w:r>
      <w:r w:rsidR="00052136" w:rsidRPr="00052136">
        <w:rPr>
          <w:noProof/>
        </w:rPr>
        <w:t xml:space="preserve"> </w:t>
      </w:r>
      <w:r w:rsidR="00715E45" w:rsidRPr="00715E45">
        <w:rPr>
          <w:noProof/>
        </w:rPr>
        <w:t xml:space="preserve"> </w:t>
      </w:r>
      <w:r>
        <w:rPr>
          <w:rFonts w:ascii="仿宋_GB2312" w:eastAsia="仿宋_GB2312" w:cs="仿宋_GB2312"/>
          <w:color w:val="000000"/>
          <w:kern w:val="0"/>
          <w:sz w:val="30"/>
          <w:szCs w:val="30"/>
          <w:shd w:val="clear" w:color="auto" w:fill="FFFFFF"/>
          <w:lang w:bidi="ar"/>
        </w:rPr>
        <w:t xml:space="preserve"> </w:t>
      </w:r>
      <w:r>
        <w:rPr>
          <w:rFonts w:ascii="仿宋_GB2312" w:eastAsia="仿宋_GB2312" w:cs="仿宋_GB2312" w:hint="eastAsia"/>
          <w:color w:val="000000"/>
          <w:kern w:val="0"/>
          <w:sz w:val="30"/>
          <w:szCs w:val="30"/>
          <w:shd w:val="clear" w:color="auto" w:fill="FFFFFF"/>
          <w:lang w:bidi="ar"/>
        </w:rPr>
        <w:t>等于</w:t>
      </w:r>
      <m:oMath>
        <m:sSup>
          <m:sSupPr>
            <m:ctrlPr>
              <w:rPr>
                <w:rFonts w:ascii="Cambria Math" w:eastAsia="仿宋_GB2312" w:hAnsi="Cambria Math" w:cs="仿宋_GB2312" w:hint="eastAsia"/>
                <w:color w:val="000000"/>
                <w:kern w:val="0"/>
                <w:sz w:val="30"/>
                <w:szCs w:val="30"/>
                <w:shd w:val="clear" w:color="auto" w:fill="FFFFFF"/>
                <w:lang w:bidi="ar"/>
              </w:rPr>
            </m:ctrlPr>
          </m:sSupPr>
          <m:e>
            <m:r>
              <w:rPr>
                <w:rFonts w:ascii="Cambria Math" w:eastAsia="仿宋_GB2312" w:hAnsi="Cambria Math" w:cs="仿宋_GB2312"/>
                <w:color w:val="000000"/>
                <w:kern w:val="0"/>
                <w:sz w:val="30"/>
                <w:szCs w:val="30"/>
                <w:shd w:val="clear" w:color="auto" w:fill="FFFFFF"/>
                <w:lang w:bidi="ar"/>
              </w:rPr>
              <m:t>e</m:t>
            </m:r>
          </m:e>
          <m:sup>
            <m:r>
              <w:rPr>
                <w:rFonts w:ascii="微软雅黑" w:eastAsia="微软雅黑" w:hAnsi="微软雅黑" w:cs="微软雅黑"/>
                <w:color w:val="000000"/>
                <w:kern w:val="0"/>
                <w:sz w:val="30"/>
                <w:szCs w:val="30"/>
                <w:shd w:val="clear" w:color="auto" w:fill="FFFFFF"/>
                <w:lang w:bidi="ar"/>
              </w:rPr>
              <m:t>-</m:t>
            </m:r>
            <m:r>
              <w:rPr>
                <w:rFonts w:ascii="Cambria Math" w:eastAsia="仿宋_GB2312" w:hAnsi="Cambria Math" w:cs="仿宋_GB2312"/>
                <w:color w:val="000000"/>
                <w:kern w:val="0"/>
                <w:sz w:val="30"/>
                <w:szCs w:val="30"/>
                <w:shd w:val="clear" w:color="auto" w:fill="FFFFFF"/>
                <w:lang w:bidi="ar"/>
              </w:rPr>
              <m:t>α</m:t>
            </m:r>
            <m:r>
              <w:rPr>
                <w:rFonts w:ascii="微软雅黑" w:eastAsia="微软雅黑" w:hAnsi="微软雅黑" w:cs="微软雅黑"/>
                <w:color w:val="000000"/>
                <w:kern w:val="0"/>
                <w:sz w:val="30"/>
                <w:szCs w:val="30"/>
                <w:shd w:val="clear" w:color="auto" w:fill="FFFFFF"/>
                <w:lang w:bidi="ar"/>
              </w:rPr>
              <m:t>∙</m:t>
            </m:r>
            <m:f>
              <m:fPr>
                <m:ctrlPr>
                  <w:rPr>
                    <w:rFonts w:ascii="Cambria Math" w:eastAsia="仿宋_GB2312" w:hAnsi="Cambria Math" w:cs="仿宋_GB2312" w:hint="eastAsia"/>
                    <w:i/>
                    <w:color w:val="000000"/>
                    <w:kern w:val="0"/>
                    <w:sz w:val="30"/>
                    <w:szCs w:val="30"/>
                    <w:shd w:val="clear" w:color="auto" w:fill="FFFFFF"/>
                    <w:lang w:bidi="ar"/>
                  </w:rPr>
                </m:ctrlPr>
              </m:fPr>
              <m:num>
                <m:d>
                  <m:dPr>
                    <m:begChr m:val="|"/>
                    <m:endChr m:val="|"/>
                    <m:ctrlPr>
                      <w:rPr>
                        <w:rFonts w:ascii="Cambria Math" w:eastAsia="仿宋_GB2312" w:hAnsi="Cambria Math" w:cs="仿宋_GB2312" w:hint="eastAsia"/>
                        <w:i/>
                        <w:color w:val="000000"/>
                        <w:kern w:val="0"/>
                        <w:sz w:val="30"/>
                        <w:szCs w:val="30"/>
                        <w:shd w:val="clear" w:color="auto" w:fill="FFFFFF"/>
                        <w:lang w:bidi="ar"/>
                      </w:rPr>
                    </m:ctrlPr>
                  </m:dPr>
                  <m:e>
                    <m:sSubSup>
                      <m:sSubSupPr>
                        <m:ctrlPr>
                          <w:rPr>
                            <w:rFonts w:ascii="Cambria Math" w:eastAsia="仿宋_GB2312" w:hAnsi="Cambria Math" w:cs="仿宋_GB2312" w:hint="eastAsia"/>
                            <w:i/>
                            <w:color w:val="000000"/>
                            <w:kern w:val="0"/>
                            <w:sz w:val="30"/>
                            <w:szCs w:val="30"/>
                            <w:shd w:val="clear" w:color="auto" w:fill="FFFFFF"/>
                            <w:lang w:bidi="ar"/>
                          </w:rPr>
                        </m:ctrlPr>
                      </m:sSubSupPr>
                      <m:e>
                        <m:r>
                          <w:rPr>
                            <w:rFonts w:ascii="Cambria Math" w:eastAsia="仿宋_GB2312" w:hAnsi="Cambria Math" w:cs="仿宋_GB2312"/>
                            <w:color w:val="000000"/>
                            <w:kern w:val="0"/>
                            <w:sz w:val="30"/>
                            <w:szCs w:val="30"/>
                            <w:shd w:val="clear" w:color="auto" w:fill="FFFFFF"/>
                            <w:lang w:bidi="ar"/>
                          </w:rPr>
                          <m:t>T</m:t>
                        </m:r>
                      </m:e>
                      <m:sub>
                        <m:r>
                          <w:rPr>
                            <w:rFonts w:ascii="Cambria Math" w:eastAsia="仿宋_GB2312" w:hAnsi="Cambria Math" w:cs="仿宋_GB2312"/>
                            <w:color w:val="000000"/>
                            <w:kern w:val="0"/>
                            <w:sz w:val="30"/>
                            <w:szCs w:val="30"/>
                            <w:shd w:val="clear" w:color="auto" w:fill="FFFFFF"/>
                            <w:lang w:bidi="ar"/>
                          </w:rPr>
                          <m:t>k</m:t>
                        </m:r>
                      </m:sub>
                      <m:sup>
                        <m:r>
                          <w:rPr>
                            <w:rFonts w:ascii="Cambria Math" w:eastAsia="仿宋_GB2312" w:hAnsi="Cambria Math" w:cs="仿宋_GB2312"/>
                            <w:color w:val="000000"/>
                            <w:kern w:val="0"/>
                            <w:sz w:val="30"/>
                            <w:szCs w:val="30"/>
                            <w:shd w:val="clear" w:color="auto" w:fill="FFFFFF"/>
                            <w:lang w:bidi="ar"/>
                          </w:rPr>
                          <m:t>u</m:t>
                        </m:r>
                      </m:sup>
                    </m:sSubSup>
                    <m:r>
                      <w:rPr>
                        <w:rFonts w:ascii="微软雅黑" w:eastAsia="微软雅黑" w:hAnsi="微软雅黑" w:cs="微软雅黑"/>
                        <w:color w:val="000000"/>
                        <w:kern w:val="0"/>
                        <w:sz w:val="30"/>
                        <w:szCs w:val="30"/>
                        <w:shd w:val="clear" w:color="auto" w:fill="FFFFFF"/>
                        <w:lang w:bidi="ar"/>
                      </w:rPr>
                      <m:t>-</m:t>
                    </m:r>
                    <m:sSubSup>
                      <m:sSubSupPr>
                        <m:ctrlPr>
                          <w:rPr>
                            <w:rFonts w:ascii="Cambria Math" w:eastAsia="仿宋_GB2312" w:hAnsi="Cambria Math" w:cs="仿宋_GB2312" w:hint="eastAsia"/>
                            <w:i/>
                            <w:color w:val="000000"/>
                            <w:kern w:val="0"/>
                            <w:sz w:val="30"/>
                            <w:szCs w:val="30"/>
                            <w:shd w:val="clear" w:color="auto" w:fill="FFFFFF"/>
                            <w:lang w:bidi="ar"/>
                          </w:rPr>
                        </m:ctrlPr>
                      </m:sSubSupPr>
                      <m:e>
                        <m:r>
                          <w:rPr>
                            <w:rFonts w:ascii="Cambria Math" w:eastAsia="仿宋_GB2312" w:hAnsi="Cambria Math" w:cs="仿宋_GB2312"/>
                            <w:color w:val="000000"/>
                            <w:kern w:val="0"/>
                            <w:sz w:val="30"/>
                            <w:szCs w:val="30"/>
                            <w:shd w:val="clear" w:color="auto" w:fill="FFFFFF"/>
                            <w:lang w:bidi="ar"/>
                          </w:rPr>
                          <m:t>T</m:t>
                        </m:r>
                      </m:e>
                      <m:sub>
                        <m:r>
                          <w:rPr>
                            <w:rFonts w:ascii="Cambria Math" w:eastAsia="仿宋_GB2312" w:hAnsi="Cambria Math" w:cs="仿宋_GB2312"/>
                            <w:color w:val="000000"/>
                            <w:kern w:val="0"/>
                            <w:sz w:val="30"/>
                            <w:szCs w:val="30"/>
                            <w:shd w:val="clear" w:color="auto" w:fill="FFFFFF"/>
                            <w:lang w:bidi="ar"/>
                          </w:rPr>
                          <m:t>l</m:t>
                        </m:r>
                      </m:sub>
                      <m:sup>
                        <m:r>
                          <w:rPr>
                            <w:rFonts w:ascii="Cambria Math" w:eastAsia="仿宋_GB2312" w:hAnsi="Cambria Math" w:cs="仿宋_GB2312"/>
                            <w:color w:val="000000"/>
                            <w:kern w:val="0"/>
                            <w:sz w:val="30"/>
                            <w:szCs w:val="30"/>
                            <w:shd w:val="clear" w:color="auto" w:fill="FFFFFF"/>
                            <w:lang w:bidi="ar"/>
                          </w:rPr>
                          <m:t>u</m:t>
                        </m:r>
                      </m:sup>
                    </m:sSubSup>
                  </m:e>
                </m:d>
              </m:num>
              <m:den>
                <m:r>
                  <m:rPr>
                    <m:sty m:val="p"/>
                  </m:rPr>
                  <w:rPr>
                    <w:rFonts w:ascii="Cambria Math" w:eastAsia="仿宋_GB2312" w:hAnsi="Cambria Math" w:cs="仿宋_GB2312"/>
                    <w:color w:val="000000"/>
                    <w:kern w:val="0"/>
                    <w:sz w:val="30"/>
                    <w:szCs w:val="30"/>
                    <w:shd w:val="clear" w:color="auto" w:fill="FFFFFF"/>
                    <w:lang w:bidi="ar"/>
                  </w:rPr>
                  <m:t>min</m:t>
                </m:r>
                <m:r>
                  <m:rPr>
                    <m:sty m:val="p"/>
                  </m:rPr>
                  <w:rPr>
                    <w:rFonts w:ascii="Cambria Math" w:eastAsia="仿宋_GB2312" w:hAnsi="Cambria Math" w:cs="Cambria Math"/>
                    <w:color w:val="000000"/>
                    <w:kern w:val="0"/>
                    <w:sz w:val="30"/>
                    <w:szCs w:val="30"/>
                    <w:shd w:val="clear" w:color="auto" w:fill="FFFFFF"/>
                    <w:lang w:bidi="ar"/>
                  </w:rPr>
                  <m:t>⁡</m:t>
                </m:r>
                <m:r>
                  <w:rPr>
                    <w:rFonts w:ascii="Cambria Math" w:eastAsia="仿宋_GB2312" w:hAnsi="Cambria Math" w:cs="仿宋_GB2312" w:hint="eastAsia"/>
                    <w:color w:val="000000"/>
                    <w:kern w:val="0"/>
                    <w:sz w:val="30"/>
                    <w:szCs w:val="30"/>
                    <w:shd w:val="clear" w:color="auto" w:fill="FFFFFF"/>
                    <w:lang w:bidi="ar"/>
                  </w:rPr>
                  <m:t>（</m:t>
                </m:r>
                <m:sSubSup>
                  <m:sSubSupPr>
                    <m:ctrlPr>
                      <w:rPr>
                        <w:rFonts w:ascii="Cambria Math" w:eastAsia="仿宋_GB2312" w:hAnsi="Cambria Math" w:cs="仿宋_GB2312" w:hint="eastAsia"/>
                        <w:i/>
                        <w:color w:val="000000"/>
                        <w:kern w:val="0"/>
                        <w:sz w:val="30"/>
                        <w:szCs w:val="30"/>
                        <w:shd w:val="clear" w:color="auto" w:fill="FFFFFF"/>
                        <w:lang w:bidi="ar"/>
                      </w:rPr>
                    </m:ctrlPr>
                  </m:sSubSupPr>
                  <m:e>
                    <m:r>
                      <w:rPr>
                        <w:rFonts w:ascii="Cambria Math" w:eastAsia="仿宋_GB2312" w:hAnsi="Cambria Math" w:cs="仿宋_GB2312"/>
                        <w:color w:val="000000"/>
                        <w:kern w:val="0"/>
                        <w:sz w:val="30"/>
                        <w:szCs w:val="30"/>
                        <w:shd w:val="clear" w:color="auto" w:fill="FFFFFF"/>
                        <w:lang w:bidi="ar"/>
                      </w:rPr>
                      <m:t>T</m:t>
                    </m:r>
                  </m:e>
                  <m:sub>
                    <m:r>
                      <w:rPr>
                        <w:rFonts w:ascii="Cambria Math" w:eastAsia="仿宋_GB2312" w:hAnsi="Cambria Math" w:cs="仿宋_GB2312"/>
                        <w:color w:val="000000"/>
                        <w:kern w:val="0"/>
                        <w:sz w:val="30"/>
                        <w:szCs w:val="30"/>
                        <w:shd w:val="clear" w:color="auto" w:fill="FFFFFF"/>
                        <w:lang w:bidi="ar"/>
                      </w:rPr>
                      <m:t>k</m:t>
                    </m:r>
                  </m:sub>
                  <m:sup>
                    <m:r>
                      <w:rPr>
                        <w:rFonts w:ascii="Cambria Math" w:eastAsia="仿宋_GB2312" w:hAnsi="Cambria Math" w:cs="仿宋_GB2312"/>
                        <w:color w:val="000000"/>
                        <w:kern w:val="0"/>
                        <w:sz w:val="30"/>
                        <w:szCs w:val="30"/>
                        <w:shd w:val="clear" w:color="auto" w:fill="FFFFFF"/>
                        <w:lang w:bidi="ar"/>
                      </w:rPr>
                      <m:t>u</m:t>
                    </m:r>
                  </m:sup>
                </m:sSubSup>
                <m:r>
                  <w:rPr>
                    <w:rFonts w:ascii="Cambria Math" w:eastAsia="仿宋_GB2312" w:hAnsi="Cambria Math" w:cs="仿宋_GB2312" w:hint="eastAsia"/>
                    <w:color w:val="000000"/>
                    <w:kern w:val="0"/>
                    <w:sz w:val="30"/>
                    <w:szCs w:val="30"/>
                    <w:shd w:val="clear" w:color="auto" w:fill="FFFFFF"/>
                    <w:lang w:bidi="ar"/>
                  </w:rPr>
                  <m:t>，</m:t>
                </m:r>
                <m:sSubSup>
                  <m:sSubSupPr>
                    <m:ctrlPr>
                      <w:rPr>
                        <w:rFonts w:ascii="Cambria Math" w:eastAsia="仿宋_GB2312" w:hAnsi="Cambria Math" w:cs="仿宋_GB2312" w:hint="eastAsia"/>
                        <w:i/>
                        <w:color w:val="000000"/>
                        <w:kern w:val="0"/>
                        <w:sz w:val="30"/>
                        <w:szCs w:val="30"/>
                        <w:shd w:val="clear" w:color="auto" w:fill="FFFFFF"/>
                        <w:lang w:bidi="ar"/>
                      </w:rPr>
                    </m:ctrlPr>
                  </m:sSubSupPr>
                  <m:e>
                    <m:r>
                      <w:rPr>
                        <w:rFonts w:ascii="Cambria Math" w:eastAsia="仿宋_GB2312" w:hAnsi="Cambria Math" w:cs="仿宋_GB2312"/>
                        <w:color w:val="000000"/>
                        <w:kern w:val="0"/>
                        <w:sz w:val="30"/>
                        <w:szCs w:val="30"/>
                        <w:shd w:val="clear" w:color="auto" w:fill="FFFFFF"/>
                        <w:lang w:bidi="ar"/>
                      </w:rPr>
                      <m:t>T</m:t>
                    </m:r>
                  </m:e>
                  <m:sub>
                    <m:r>
                      <w:rPr>
                        <w:rFonts w:ascii="Cambria Math" w:eastAsia="仿宋_GB2312" w:hAnsi="Cambria Math" w:cs="仿宋_GB2312"/>
                        <w:color w:val="000000"/>
                        <w:kern w:val="0"/>
                        <w:sz w:val="30"/>
                        <w:szCs w:val="30"/>
                        <w:shd w:val="clear" w:color="auto" w:fill="FFFFFF"/>
                        <w:lang w:bidi="ar"/>
                      </w:rPr>
                      <m:t>l</m:t>
                    </m:r>
                  </m:sub>
                  <m:sup>
                    <m:r>
                      <w:rPr>
                        <w:rFonts w:ascii="Cambria Math" w:eastAsia="仿宋_GB2312" w:hAnsi="Cambria Math" w:cs="仿宋_GB2312"/>
                        <w:color w:val="000000"/>
                        <w:kern w:val="0"/>
                        <w:sz w:val="30"/>
                        <w:szCs w:val="30"/>
                        <w:shd w:val="clear" w:color="auto" w:fill="FFFFFF"/>
                        <w:lang w:bidi="ar"/>
                      </w:rPr>
                      <m:t>u</m:t>
                    </m:r>
                  </m:sup>
                </m:sSubSup>
                <m:r>
                  <w:rPr>
                    <w:rFonts w:ascii="Cambria Math" w:eastAsia="仿宋_GB2312" w:hAnsi="Cambria Math" w:cs="仿宋_GB2312" w:hint="eastAsia"/>
                    <w:color w:val="000000"/>
                    <w:kern w:val="0"/>
                    <w:sz w:val="30"/>
                    <w:szCs w:val="30"/>
                    <w:shd w:val="clear" w:color="auto" w:fill="FFFFFF"/>
                    <w:lang w:bidi="ar"/>
                  </w:rPr>
                  <m:t>）</m:t>
                </m:r>
              </m:den>
            </m:f>
          </m:sup>
        </m:sSup>
      </m:oMath>
      <w:r>
        <w:rPr>
          <w:rFonts w:ascii="仿宋_GB2312" w:eastAsia="仿宋_GB2312" w:cs="仿宋_GB2312" w:hint="eastAsia"/>
          <w:color w:val="000000"/>
          <w:kern w:val="0"/>
          <w:sz w:val="30"/>
          <w:szCs w:val="30"/>
          <w:shd w:val="clear" w:color="auto" w:fill="FFFFFF"/>
          <w:lang w:bidi="ar"/>
        </w:rPr>
        <w:t>。</w:t>
      </w:r>
    </w:p>
    <w:p w:rsidR="004165E8" w:rsidRDefault="00A108D9">
      <w:pPr>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c.</w:t>
      </w:r>
      <w:r>
        <w:rPr>
          <w:rFonts w:ascii="仿宋_GB2312" w:eastAsia="仿宋_GB2312" w:cs="仿宋_GB2312"/>
          <w:color w:val="000000"/>
          <w:kern w:val="0"/>
          <w:sz w:val="30"/>
          <w:szCs w:val="30"/>
          <w:shd w:val="clear" w:color="auto" w:fill="FFFFFF"/>
          <w:lang w:bidi="ar"/>
        </w:rPr>
        <w:t>α</w: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560" w:lineRule="exact"/>
        <w:ind w:firstLineChars="200" w:firstLine="600"/>
        <w:rPr>
          <w:rFonts w:ascii="仿宋_GB2312" w:eastAsia="仿宋_GB2312"/>
          <w:sz w:val="30"/>
          <w:szCs w:val="30"/>
        </w:rPr>
      </w:pPr>
      <w:bookmarkStart w:id="5" w:name="_Hlk51615334"/>
      <w:bookmarkStart w:id="6" w:name="_Hlk51615373"/>
      <w:proofErr w:type="gramStart"/>
      <w:r>
        <w:rPr>
          <w:rFonts w:ascii="仿宋_GB2312" w:eastAsia="仿宋_GB2312"/>
          <w:sz w:val="30"/>
          <w:szCs w:val="30"/>
        </w:rPr>
        <w:t>d.</w:t>
      </w:r>
      <w:proofErr w:type="gramEnd"/>
      <w:r>
        <w:rPr>
          <w:position w:val="-12"/>
          <w:sz w:val="30"/>
          <w:szCs w:val="30"/>
        </w:rPr>
        <w:object w:dxaOrig="280" w:dyaOrig="333">
          <v:shape id="_x0000_i1081" type="#_x0000_t75" style="width:13.9pt;height:16.75pt" o:ole="">
            <v:imagedata r:id="rId108" o:title=""/>
          </v:shape>
          <o:OLEObject Type="Embed" ProgID="Equation.DSMT4" ShapeID="_x0000_i1081" DrawAspect="Content" ObjectID="_1765373650" r:id="rId109"/>
        </w:object>
      </w:r>
      <w:r>
        <w:rPr>
          <w:rFonts w:ascii="仿宋_GB2312" w:eastAsia="仿宋_GB2312" w:hint="eastAsia"/>
          <w:sz w:val="30"/>
          <w:szCs w:val="30"/>
        </w:rPr>
        <w:t>（或</w:t>
      </w:r>
      <w:r>
        <w:rPr>
          <w:position w:val="-12"/>
          <w:sz w:val="30"/>
          <w:szCs w:val="30"/>
        </w:rPr>
        <w:object w:dxaOrig="280" w:dyaOrig="333">
          <v:shape id="_x0000_i1082" type="#_x0000_t75" style="width:13.9pt;height:16.75pt" o:ole="">
            <v:imagedata r:id="rId110" o:title=""/>
          </v:shape>
          <o:OLEObject Type="Embed" ProgID="Equation.DSMT4" ShapeID="_x0000_i1082" DrawAspect="Content" ObjectID="_1765373651" r:id="rId111"/>
        </w:object>
      </w:r>
      <w:r>
        <w:rPr>
          <w:rFonts w:ascii="仿宋_GB2312" w:eastAsia="仿宋_GB2312" w:hint="eastAsia"/>
          <w:sz w:val="30"/>
          <w:szCs w:val="30"/>
        </w:rPr>
        <w:t>）</w:t>
      </w:r>
      <w:r>
        <w:rPr>
          <w:rFonts w:ascii="仿宋_GB2312" w:eastAsia="仿宋_GB2312"/>
          <w:sz w:val="30"/>
          <w:szCs w:val="30"/>
        </w:rPr>
        <w:fldChar w:fldCharType="begin"/>
      </w:r>
      <w:r>
        <w:rPr>
          <w:rFonts w:ascii="仿宋_GB2312" w:eastAsia="仿宋_GB2312"/>
          <w:sz w:val="30"/>
          <w:szCs w:val="30"/>
        </w:rPr>
        <w:instrText xml:space="preserve"> QUOTE </w:instrText>
      </w:r>
      <w:r w:rsidR="00715E45">
        <w:rPr>
          <w:rFonts w:ascii="仿宋_GB2312" w:eastAsia="仿宋_GB2312"/>
          <w:sz w:val="30"/>
          <w:szCs w:val="30"/>
        </w:rPr>
        <w:pict>
          <v:shape id="_x0000_i1083" type="#_x0000_t75" style="width:71.3pt;height:31.3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revisionView w:markup=&quot;off&quot;/&gt;&lt;w:defaultTabStop w:val=&quot;420&quot;/&gt;&lt;w:drawingGridHorizontalSpacing w:val=&quot;105&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72A27&quot;/&gt;&lt;wsp:rsid wsp:val=&quot;0000188F&quot;/&gt;&lt;wsp:rsid wsp:val=&quot;000040E4&quot;/&gt;&lt;wsp:rsid wsp:val=&quot;000048EB&quot;/&gt;&lt;wsp:rsid wsp:val=&quot;00006AF5&quot;/&gt;&lt;wsp:rsid wsp:val=&quot;000101C5&quot;/&gt;&lt;wsp:rsid wsp:val=&quot;00012101&quot;/&gt;&lt;wsp:rsid wsp:val=&quot;0001559B&quot;/&gt;&lt;wsp:rsid wsp:val=&quot;000163C2&quot;/&gt;&lt;wsp:rsid wsp:val=&quot;000208AB&quot;/&gt;&lt;wsp:rsid wsp:val=&quot;0002097E&quot;/&gt;&lt;wsp:rsid wsp:val=&quot;00020F88&quot;/&gt;&lt;wsp:rsid wsp:val=&quot;0002411C&quot;/&gt;&lt;wsp:rsid wsp:val=&quot;000265F9&quot;/&gt;&lt;wsp:rsid wsp:val=&quot;0002671E&quot;/&gt;&lt;wsp:rsid wsp:val=&quot;00033330&quot;/&gt;&lt;wsp:rsid wsp:val=&quot;00034CD4&quot;/&gt;&lt;wsp:rsid wsp:val=&quot;00035CA5&quot;/&gt;&lt;wsp:rsid wsp:val=&quot;000368B5&quot;/&gt;&lt;wsp:rsid wsp:val=&quot;00036AF1&quot;/&gt;&lt;wsp:rsid wsp:val=&quot;00045C4B&quot;/&gt;&lt;wsp:rsid wsp:val=&quot;00047D0E&quot;/&gt;&lt;wsp:rsid wsp:val=&quot;00060154&quot;/&gt;&lt;wsp:rsid wsp:val=&quot;00063822&quot;/&gt;&lt;wsp:rsid wsp:val=&quot;00064401&quot;/&gt;&lt;wsp:rsid wsp:val=&quot;00070F41&quot;/&gt;&lt;wsp:rsid wsp:val=&quot;0007175D&quot;/&gt;&lt;wsp:rsid wsp:val=&quot;00071E7C&quot;/&gt;&lt;wsp:rsid wsp:val=&quot;00073BF3&quot;/&gt;&lt;wsp:rsid wsp:val=&quot;00073E9F&quot;/&gt;&lt;wsp:rsid wsp:val=&quot;00074126&quot;/&gt;&lt;wsp:rsid wsp:val=&quot;00074148&quot;/&gt;&lt;wsp:rsid wsp:val=&quot;00074E55&quot;/&gt;&lt;wsp:rsid wsp:val=&quot;0007751B&quot;/&gt;&lt;wsp:rsid wsp:val=&quot;0008715E&quot;/&gt;&lt;wsp:rsid wsp:val=&quot;00090F74&quot;/&gt;&lt;wsp:rsid wsp:val=&quot;0009121A&quot;/&gt;&lt;wsp:rsid wsp:val=&quot;0009265A&quot;/&gt;&lt;wsp:rsid wsp:val=&quot;000927BE&quot;/&gt;&lt;wsp:rsid wsp:val=&quot;000927D2&quot;/&gt;&lt;wsp:rsid wsp:val=&quot;00094DF9&quot;/&gt;&lt;wsp:rsid wsp:val=&quot;00095F1B&quot;/&gt;&lt;wsp:rsid wsp:val=&quot;00096D89&quot;/&gt;&lt;wsp:rsid wsp:val=&quot;000A280F&quot;/&gt;&lt;wsp:rsid wsp:val=&quot;000A426A&quot;/&gt;&lt;wsp:rsid wsp:val=&quot;000A5EFE&quot;/&gt;&lt;wsp:rsid wsp:val=&quot;000A6041&quot;/&gt;&lt;wsp:rsid wsp:val=&quot;000A7FC1&quot;/&gt;&lt;wsp:rsid wsp:val=&quot;000B09AF&quot;/&gt;&lt;wsp:rsid wsp:val=&quot;000B0D4A&quot;/&gt;&lt;wsp:rsid wsp:val=&quot;000B0D63&quot;/&gt;&lt;wsp:rsid wsp:val=&quot;000B4E61&quot;/&gt;&lt;wsp:rsid wsp:val=&quot;000C2DB5&quot;/&gt;&lt;wsp:rsid wsp:val=&quot;000C2E77&quot;/&gt;&lt;wsp:rsid wsp:val=&quot;000C4261&quot;/&gt;&lt;wsp:rsid wsp:val=&quot;000C5336&quot;/&gt;&lt;wsp:rsid wsp:val=&quot;000C7D7F&quot;/&gt;&lt;wsp:rsid wsp:val=&quot;000D0106&quot;/&gt;&lt;wsp:rsid wsp:val=&quot;000D2E1B&quot;/&gt;&lt;wsp:rsid wsp:val=&quot;000E0C7F&quot;/&gt;&lt;wsp:rsid wsp:val=&quot;000E1D69&quot;/&gt;&lt;wsp:rsid wsp:val=&quot;000E5582&quot;/&gt;&lt;wsp:rsid wsp:val=&quot;000E5E4A&quot;/&gt;&lt;wsp:rsid wsp:val=&quot;000E6ABE&quot;/&gt;&lt;wsp:rsid wsp:val=&quot;000F094D&quot;/&gt;&lt;wsp:rsid wsp:val=&quot;000F1F97&quot;/&gt;&lt;wsp:rsid wsp:val=&quot;000F2038&quot;/&gt;&lt;wsp:rsid wsp:val=&quot;000F23E3&quot;/&gt;&lt;wsp:rsid wsp:val=&quot;000F2DF9&quot;/&gt;&lt;wsp:rsid wsp:val=&quot;000F3581&quot;/&gt;&lt;wsp:rsid wsp:val=&quot;000F5A98&quot;/&gt;&lt;wsp:rsid wsp:val=&quot;00102A2B&quot;/&gt;&lt;wsp:rsid wsp:val=&quot;0010560C&quot;/&gt;&lt;wsp:rsid wsp:val=&quot;00106FD6&quot;/&gt;&lt;wsp:rsid wsp:val=&quot;001071C2&quot;/&gt;&lt;wsp:rsid wsp:val=&quot;00107BFF&quot;/&gt;&lt;wsp:rsid wsp:val=&quot;00110A14&quot;/&gt;&lt;wsp:rsid wsp:val=&quot;001110EA&quot;/&gt;&lt;wsp:rsid wsp:val=&quot;00116D54&quot;/&gt;&lt;wsp:rsid wsp:val=&quot;00134A3A&quot;/&gt;&lt;wsp:rsid wsp:val=&quot;00134EF5&quot;/&gt;&lt;wsp:rsid wsp:val=&quot;0014367E&quot;/&gt;&lt;wsp:rsid wsp:val=&quot;001437F3&quot;/&gt;&lt;wsp:rsid wsp:val=&quot;00143E43&quot;/&gt;&lt;wsp:rsid wsp:val=&quot;00146D18&quot;/&gt;&lt;wsp:rsid wsp:val=&quot;0014733E&quot;/&gt;&lt;wsp:rsid wsp:val=&quot;0014788C&quot;/&gt;&lt;wsp:rsid wsp:val=&quot;00147956&quot;/&gt;&lt;wsp:rsid wsp:val=&quot;00147EA9&quot;/&gt;&lt;wsp:rsid wsp:val=&quot;00151765&quot;/&gt;&lt;wsp:rsid wsp:val=&quot;00153B23&quot;/&gt;&lt;wsp:rsid wsp:val=&quot;00154C7A&quot;/&gt;&lt;wsp:rsid wsp:val=&quot;00155B2A&quot;/&gt;&lt;wsp:rsid wsp:val=&quot;0016563F&quot;/&gt;&lt;wsp:rsid wsp:val=&quot;00172A27&quot;/&gt;&lt;wsp:rsid wsp:val=&quot;00175438&quot;/&gt;&lt;wsp:rsid wsp:val=&quot;001768F8&quot;/&gt;&lt;wsp:rsid wsp:val=&quot;0017699A&quot;/&gt;&lt;wsp:rsid wsp:val=&quot;0017757F&quot;/&gt;&lt;wsp:rsid wsp:val=&quot;00177B1A&quot;/&gt;&lt;wsp:rsid wsp:val=&quot;001808FC&quot;/&gt;&lt;wsp:rsid wsp:val=&quot;00181918&quot;/&gt;&lt;wsp:rsid wsp:val=&quot;00181F08&quot;/&gt;&lt;wsp:rsid wsp:val=&quot;00190BAA&quot;/&gt;&lt;wsp:rsid wsp:val=&quot;00190CF8&quot;/&gt;&lt;wsp:rsid wsp:val=&quot;001944E3&quot;/&gt;&lt;wsp:rsid wsp:val=&quot;00195795&quot;/&gt;&lt;wsp:rsid wsp:val=&quot;001A09F6&quot;/&gt;&lt;wsp:rsid wsp:val=&quot;001A0D57&quot;/&gt;&lt;wsp:rsid wsp:val=&quot;001A148D&quot;/&gt;&lt;wsp:rsid wsp:val=&quot;001A5DC4&quot;/&gt;&lt;wsp:rsid wsp:val=&quot;001A6B81&quot;/&gt;&lt;wsp:rsid wsp:val=&quot;001B155B&quot;/&gt;&lt;wsp:rsid wsp:val=&quot;001B1FC4&quot;/&gt;&lt;wsp:rsid wsp:val=&quot;001B23D0&quot;/&gt;&lt;wsp:rsid wsp:val=&quot;001C1658&quot;/&gt;&lt;wsp:rsid wsp:val=&quot;001C1CEE&quot;/&gt;&lt;wsp:rsid wsp:val=&quot;001C25B7&quot;/&gt;&lt;wsp:rsid wsp:val=&quot;001C4F59&quot;/&gt;&lt;wsp:rsid wsp:val=&quot;001C72A4&quot;/&gt;&lt;wsp:rsid wsp:val=&quot;001D1487&quot;/&gt;&lt;wsp:rsid wsp:val=&quot;001D2A44&quot;/&gt;&lt;wsp:rsid wsp:val=&quot;001D30C3&quot;/&gt;&lt;wsp:rsid wsp:val=&quot;001D3AD8&quot;/&gt;&lt;wsp:rsid wsp:val=&quot;001D70DD&quot;/&gt;&lt;wsp:rsid wsp:val=&quot;001E12F5&quot;/&gt;&lt;wsp:rsid wsp:val=&quot;001E320F&quot;/&gt;&lt;wsp:rsid wsp:val=&quot;001F1C14&quot;/&gt;&lt;wsp:rsid wsp:val=&quot;001F210C&quot;/&gt;&lt;wsp:rsid wsp:val=&quot;001F3177&quot;/&gt;&lt;wsp:rsid wsp:val=&quot;001F32EB&quot;/&gt;&lt;wsp:rsid wsp:val=&quot;001F3C35&quot;/&gt;&lt;wsp:rsid wsp:val=&quot;001F6FC6&quot;/&gt;&lt;wsp:rsid wsp:val=&quot;001F7154&quot;/&gt;&lt;wsp:rsid wsp:val=&quot;001F71E3&quot;/&gt;&lt;wsp:rsid wsp:val=&quot;00203BB5&quot;/&gt;&lt;wsp:rsid wsp:val=&quot;00204F5B&quot;/&gt;&lt;wsp:rsid wsp:val=&quot;0020509A&quot;/&gt;&lt;wsp:rsid wsp:val=&quot;00210AFE&quot;/&gt;&lt;wsp:rsid wsp:val=&quot;002200EA&quot;/&gt;&lt;wsp:rsid wsp:val=&quot;002206FC&quot;/&gt;&lt;wsp:rsid wsp:val=&quot;00220DF6&quot;/&gt;&lt;wsp:rsid wsp:val=&quot;00221E0D&quot;/&gt;&lt;wsp:rsid wsp:val=&quot;00233035&quot;/&gt;&lt;wsp:rsid wsp:val=&quot;002369A8&quot;/&gt;&lt;wsp:rsid wsp:val=&quot;00242B03&quot;/&gt;&lt;wsp:rsid wsp:val=&quot;002447E9&quot;/&gt;&lt;wsp:rsid wsp:val=&quot;00250B9A&quot;/&gt;&lt;wsp:rsid wsp:val=&quot;00253E69&quot;/&gt;&lt;wsp:rsid wsp:val=&quot;00265530&quot;/&gt;&lt;wsp:rsid wsp:val=&quot;00265C1C&quot;/&gt;&lt;wsp:rsid wsp:val=&quot;00266934&quot;/&gt;&lt;wsp:rsid wsp:val=&quot;00266BF5&quot;/&gt;&lt;wsp:rsid wsp:val=&quot;00267F63&quot;/&gt;&lt;wsp:rsid wsp:val=&quot;0028004C&quot;/&gt;&lt;wsp:rsid wsp:val=&quot;0028220A&quot;/&gt;&lt;wsp:rsid wsp:val=&quot;00282AC5&quot;/&gt;&lt;wsp:rsid wsp:val=&quot;0028442F&quot;/&gt;&lt;wsp:rsid wsp:val=&quot;00284FCD&quot;/&gt;&lt;wsp:rsid wsp:val=&quot;00285F22&quot;/&gt;&lt;wsp:rsid wsp:val=&quot;0029147B&quot;/&gt;&lt;wsp:rsid wsp:val=&quot;00292699&quot;/&gt;&lt;wsp:rsid wsp:val=&quot;0029281E&quot;/&gt;&lt;wsp:rsid wsp:val=&quot;00292984&quot;/&gt;&lt;wsp:rsid wsp:val=&quot;0029432B&quot;/&gt;&lt;wsp:rsid wsp:val=&quot;00294B52&quot;/&gt;&lt;wsp:rsid wsp:val=&quot;002B1D21&quot;/&gt;&lt;wsp:rsid wsp:val=&quot;002B53F4&quot;/&gt;&lt;wsp:rsid wsp:val=&quot;002B6B54&quot;/&gt;&lt;wsp:rsid wsp:val=&quot;002C3A9D&quot;/&gt;&lt;wsp:rsid wsp:val=&quot;002D1260&quot;/&gt;&lt;wsp:rsid wsp:val=&quot;002D4C5F&quot;/&gt;&lt;wsp:rsid wsp:val=&quot;002D539F&quot;/&gt;&lt;wsp:rsid wsp:val=&quot;002D7E56&quot;/&gt;&lt;wsp:rsid wsp:val=&quot;002D7FDD&quot;/&gt;&lt;wsp:rsid wsp:val=&quot;002E093C&quot;/&gt;&lt;wsp:rsid wsp:val=&quot;002E3BFD&quot;/&gt;&lt;wsp:rsid wsp:val=&quot;002E4BB8&quot;/&gt;&lt;wsp:rsid wsp:val=&quot;002E5DAD&quot;/&gt;&lt;wsp:rsid wsp:val=&quot;002F02E1&quot;/&gt;&lt;wsp:rsid wsp:val=&quot;002F50A3&quot;/&gt;&lt;wsp:rsid wsp:val=&quot;002F6A24&quot;/&gt;&lt;wsp:rsid wsp:val=&quot;0030699D&quot;/&gt;&lt;wsp:rsid wsp:val=&quot;00316794&quot;/&gt;&lt;wsp:rsid wsp:val=&quot;003171EF&quot;/&gt;&lt;wsp:rsid wsp:val=&quot;00320A79&quot;/&gt;&lt;wsp:rsid wsp:val=&quot;00323430&quot;/&gt;&lt;wsp:rsid wsp:val=&quot;00334AC9&quot;/&gt;&lt;wsp:rsid wsp:val=&quot;003458FF&quot;/&gt;&lt;wsp:rsid wsp:val=&quot;00345D37&quot;/&gt;&lt;wsp:rsid wsp:val=&quot;00353567&quot;/&gt;&lt;wsp:rsid wsp:val=&quot;00354F84&quot;/&gt;&lt;wsp:rsid wsp:val=&quot;003554BD&quot;/&gt;&lt;wsp:rsid wsp:val=&quot;00355961&quot;/&gt;&lt;wsp:rsid wsp:val=&quot;0036312F&quot;/&gt;&lt;wsp:rsid wsp:val=&quot;0036323E&quot;/&gt;&lt;wsp:rsid wsp:val=&quot;0036481D&quot;/&gt;&lt;wsp:rsid wsp:val=&quot;003662B4&quot;/&gt;&lt;wsp:rsid wsp:val=&quot;003726CB&quot;/&gt;&lt;wsp:rsid wsp:val=&quot;0037302B&quot;/&gt;&lt;wsp:rsid wsp:val=&quot;00375418&quot;/&gt;&lt;wsp:rsid wsp:val=&quot;00376D04&quot;/&gt;&lt;wsp:rsid wsp:val=&quot;00381D0F&quot;/&gt;&lt;wsp:rsid wsp:val=&quot;00382D4C&quot;/&gt;&lt;wsp:rsid wsp:val=&quot;00391B7E&quot;/&gt;&lt;wsp:rsid wsp:val=&quot;00393348&quot;/&gt;&lt;wsp:rsid wsp:val=&quot;003937A1&quot;/&gt;&lt;wsp:rsid wsp:val=&quot;00395FFC&quot;/&gt;&lt;wsp:rsid wsp:val=&quot;0039645A&quot;/&gt;&lt;wsp:rsid wsp:val=&quot;0039749A&quot;/&gt;&lt;wsp:rsid wsp:val=&quot;003A0A7B&quot;/&gt;&lt;wsp:rsid wsp:val=&quot;003A1A54&quot;/&gt;&lt;wsp:rsid wsp:val=&quot;003A4E3B&quot;/&gt;&lt;wsp:rsid wsp:val=&quot;003A62E6&quot;/&gt;&lt;wsp:rsid wsp:val=&quot;003A6670&quot;/&gt;&lt;wsp:rsid wsp:val=&quot;003A7C40&quot;/&gt;&lt;wsp:rsid wsp:val=&quot;003B1BF9&quot;/&gt;&lt;wsp:rsid wsp:val=&quot;003B2462&quot;/&gt;&lt;wsp:rsid wsp:val=&quot;003B361F&quot;/&gt;&lt;wsp:rsid wsp:val=&quot;003B3B22&quot;/&gt;&lt;wsp:rsid wsp:val=&quot;003B4336&quot;/&gt;&lt;wsp:rsid wsp:val=&quot;003B7773&quot;/&gt;&lt;wsp:rsid wsp:val=&quot;003C02C8&quot;/&gt;&lt;wsp:rsid wsp:val=&quot;003C3902&quot;/&gt;&lt;wsp:rsid wsp:val=&quot;003C56B6&quot;/&gt;&lt;wsp:rsid wsp:val=&quot;003C5CD4&quot;/&gt;&lt;wsp:rsid wsp:val=&quot;003D25FC&quot;/&gt;&lt;wsp:rsid wsp:val=&quot;003D36CC&quot;/&gt;&lt;wsp:rsid wsp:val=&quot;003D6C3C&quot;/&gt;&lt;wsp:rsid wsp:val=&quot;003E1168&quot;/&gt;&lt;wsp:rsid wsp:val=&quot;003E14F1&quot;/&gt;&lt;wsp:rsid wsp:val=&quot;003E1F32&quot;/&gt;&lt;wsp:rsid wsp:val=&quot;003F0A41&quot;/&gt;&lt;wsp:rsid wsp:val=&quot;003F1056&quot;/&gt;&lt;wsp:rsid wsp:val=&quot;003F17A4&quot;/&gt;&lt;wsp:rsid wsp:val=&quot;003F505F&quot;/&gt;&lt;wsp:rsid wsp:val=&quot;003F69AC&quot;/&gt;&lt;wsp:rsid wsp:val=&quot;003F7C7C&quot;/&gt;&lt;wsp:rsid wsp:val=&quot;00401093&quot;/&gt;&lt;wsp:rsid wsp:val=&quot;00402B94&quot;/&gt;&lt;wsp:rsid wsp:val=&quot;00402BB7&quot;/&gt;&lt;wsp:rsid wsp:val=&quot;004049FE&quot;/&gt;&lt;wsp:rsid wsp:val=&quot;004101B0&quot;/&gt;&lt;wsp:rsid wsp:val=&quot;004123CF&quot;/&gt;&lt;wsp:rsid wsp:val=&quot;00424DF0&quot;/&gt;&lt;wsp:rsid wsp:val=&quot;00425FEC&quot;/&gt;&lt;wsp:rsid wsp:val=&quot;00426E6E&quot;/&gt;&lt;wsp:rsid wsp:val=&quot;0042729A&quot;/&gt;&lt;wsp:rsid wsp:val=&quot;004327D9&quot;/&gt;&lt;wsp:rsid wsp:val=&quot;004340AE&quot;/&gt;&lt;wsp:rsid wsp:val=&quot;0043552F&quot;/&gt;&lt;wsp:rsid wsp:val=&quot;00443DFB&quot;/&gt;&lt;wsp:rsid wsp:val=&quot;00444518&quot;/&gt;&lt;wsp:rsid wsp:val=&quot;00444F91&quot;/&gt;&lt;wsp:rsid wsp:val=&quot;004471C0&quot;/&gt;&lt;wsp:rsid wsp:val=&quot;00447946&quot;/&gt;&lt;wsp:rsid wsp:val=&quot;004509CB&quot;/&gt;&lt;wsp:rsid wsp:val=&quot;00450B68&quot;/&gt;&lt;wsp:rsid wsp:val=&quot;00451163&quot;/&gt;&lt;wsp:rsid wsp:val=&quot;0045622E&quot;/&gt;&lt;wsp:rsid wsp:val=&quot;004611C0&quot;/&gt;&lt;wsp:rsid wsp:val=&quot;004647F7&quot;/&gt;&lt;wsp:rsid wsp:val=&quot;00465A73&quot;/&gt;&lt;wsp:rsid wsp:val=&quot;00466805&quot;/&gt;&lt;wsp:rsid wsp:val=&quot;00471E0D&quot;/&gt;&lt;wsp:rsid wsp:val=&quot;00472DDD&quot;/&gt;&lt;wsp:rsid wsp:val=&quot;00472EDE&quot;/&gt;&lt;wsp:rsid wsp:val=&quot;0047507D&quot;/&gt;&lt;wsp:rsid wsp:val=&quot;00475598&quot;/&gt;&lt;wsp:rsid wsp:val=&quot;00475967&quot;/&gt;&lt;wsp:rsid wsp:val=&quot;00476F5C&quot;/&gt;&lt;wsp:rsid wsp:val=&quot;00480009&quot;/&gt;&lt;wsp:rsid wsp:val=&quot;00486BB5&quot;/&gt;&lt;wsp:rsid wsp:val=&quot;004908AF&quot;/&gt;&lt;wsp:rsid wsp:val=&quot;00495CDA&quot;/&gt;&lt;wsp:rsid wsp:val=&quot;004A2F5C&quot;/&gt;&lt;wsp:rsid wsp:val=&quot;004A4A7C&quot;/&gt;&lt;wsp:rsid wsp:val=&quot;004A4FC9&quot;/&gt;&lt;wsp:rsid wsp:val=&quot;004A653D&quot;/&gt;&lt;wsp:rsid wsp:val=&quot;004A7F44&quot;/&gt;&lt;wsp:rsid wsp:val=&quot;004B0AB6&quot;/&gt;&lt;wsp:rsid wsp:val=&quot;004B6F07&quot;/&gt;&lt;wsp:rsid wsp:val=&quot;004B74A5&quot;/&gt;&lt;wsp:rsid wsp:val=&quot;004C314F&quot;/&gt;&lt;wsp:rsid wsp:val=&quot;004D0CF6&quot;/&gt;&lt;wsp:rsid wsp:val=&quot;004D52EE&quot;/&gt;&lt;wsp:rsid wsp:val=&quot;004D7FB8&quot;/&gt;&lt;wsp:rsid wsp:val=&quot;004E2ABC&quot;/&gt;&lt;wsp:rsid wsp:val=&quot;004E2C19&quot;/&gt;&lt;wsp:rsid wsp:val=&quot;004E5A95&quot;/&gt;&lt;wsp:rsid wsp:val=&quot;004E6489&quot;/&gt;&lt;wsp:rsid wsp:val=&quot;004E78BA&quot;/&gt;&lt;wsp:rsid wsp:val=&quot;004F5C5D&quot;/&gt;&lt;wsp:rsid wsp:val=&quot;004F63D3&quot;/&gt;&lt;wsp:rsid wsp:val=&quot;004F7A5C&quot;/&gt;&lt;wsp:rsid wsp:val=&quot;00506737&quot;/&gt;&lt;wsp:rsid wsp:val=&quot;00507F65&quot;/&gt;&lt;wsp:rsid wsp:val=&quot;00507FFE&quot;/&gt;&lt;wsp:rsid wsp:val=&quot;00510ACF&quot;/&gt;&lt;wsp:rsid wsp:val=&quot;00517690&quot;/&gt;&lt;wsp:rsid wsp:val=&quot;00524BC8&quot;/&gt;&lt;wsp:rsid wsp:val=&quot;00524D52&quot;/&gt;&lt;wsp:rsid wsp:val=&quot;0053075A&quot;/&gt;&lt;wsp:rsid wsp:val=&quot;00532EDD&quot;/&gt;&lt;wsp:rsid wsp:val=&quot;005331DC&quot;/&gt;&lt;wsp:rsid wsp:val=&quot;005356D9&quot;/&gt;&lt;wsp:rsid wsp:val=&quot;00541062&quot;/&gt;&lt;wsp:rsid wsp:val=&quot;0054215A&quot;/&gt;&lt;wsp:rsid wsp:val=&quot;0054483B&quot;/&gt;&lt;wsp:rsid wsp:val=&quot;00553016&quot;/&gt;&lt;wsp:rsid wsp:val=&quot;0055567D&quot;/&gt;&lt;wsp:rsid wsp:val=&quot;00557E51&quot;/&gt;&lt;wsp:rsid wsp:val=&quot;0056180F&quot;/&gt;&lt;wsp:rsid wsp:val=&quot;00566022&quot;/&gt;&lt;wsp:rsid wsp:val=&quot;00566EC8&quot;/&gt;&lt;wsp:rsid wsp:val=&quot;0057075C&quot;/&gt;&lt;wsp:rsid wsp:val=&quot;00571829&quot;/&gt;&lt;wsp:rsid wsp:val=&quot;00575244&quot;/&gt;&lt;wsp:rsid wsp:val=&quot;00582653&quot;/&gt;&lt;wsp:rsid wsp:val=&quot;00583356&quot;/&gt;&lt;wsp:rsid wsp:val=&quot;00585671&quot;/&gt;&lt;wsp:rsid wsp:val=&quot;00587017&quot;/&gt;&lt;wsp:rsid wsp:val=&quot;005907E0&quot;/&gt;&lt;wsp:rsid wsp:val=&quot;0059729A&quot;/&gt;&lt;wsp:rsid wsp:val=&quot;00597DDC&quot;/&gt;&lt;wsp:rsid wsp:val=&quot;005A2953&quot;/&gt;&lt;wsp:rsid wsp:val=&quot;005A421B&quot;/&gt;&lt;wsp:rsid wsp:val=&quot;005A5F31&quot;/&gt;&lt;wsp:rsid wsp:val=&quot;005B50EC&quot;/&gt;&lt;wsp:rsid wsp:val=&quot;005B6AEA&quot;/&gt;&lt;wsp:rsid wsp:val=&quot;005C0945&quot;/&gt;&lt;wsp:rsid wsp:val=&quot;005C31CC&quot;/&gt;&lt;wsp:rsid wsp:val=&quot;005C383E&quot;/&gt;&lt;wsp:rsid wsp:val=&quot;005C3C7D&quot;/&gt;&lt;wsp:rsid wsp:val=&quot;005D17CC&quot;/&gt;&lt;wsp:rsid wsp:val=&quot;005D27B3&quot;/&gt;&lt;wsp:rsid wsp:val=&quot;005D784C&quot;/&gt;&lt;wsp:rsid wsp:val=&quot;005E17D2&quot;/&gt;&lt;wsp:rsid wsp:val=&quot;005E2FE9&quot;/&gt;&lt;wsp:rsid wsp:val=&quot;005E7B23&quot;/&gt;&lt;wsp:rsid wsp:val=&quot;005F0DF8&quot;/&gt;&lt;wsp:rsid wsp:val=&quot;005F141C&quot;/&gt;&lt;wsp:rsid wsp:val=&quot;005F2EB9&quot;/&gt;&lt;wsp:rsid wsp:val=&quot;005F3C18&quot;/&gt;&lt;wsp:rsid wsp:val=&quot;005F4C45&quot;/&gt;&lt;wsp:rsid wsp:val=&quot;005F6263&quot;/&gt;&lt;wsp:rsid wsp:val=&quot;006015B1&quot;/&gt;&lt;wsp:rsid wsp:val=&quot;00607C0C&quot;/&gt;&lt;wsp:rsid wsp:val=&quot;00607DD9&quot;/&gt;&lt;wsp:rsid wsp:val=&quot;00611704&quot;/&gt;&lt;wsp:rsid wsp:val=&quot;0061448F&quot;/&gt;&lt;wsp:rsid wsp:val=&quot;00616748&quot;/&gt;&lt;wsp:rsid wsp:val=&quot;00620B7E&quot;/&gt;&lt;wsp:rsid wsp:val=&quot;00624E28&quot;/&gt;&lt;wsp:rsid wsp:val=&quot;00634120&quot;/&gt;&lt;wsp:rsid wsp:val=&quot;006364D1&quot;/&gt;&lt;wsp:rsid wsp:val=&quot;006369DD&quot;/&gt;&lt;wsp:rsid wsp:val=&quot;0064698A&quot;/&gt;&lt;wsp:rsid wsp:val=&quot;00646A2B&quot;/&gt;&lt;wsp:rsid wsp:val=&quot;00646C6B&quot;/&gt;&lt;wsp:rsid wsp:val=&quot;00646C8A&quot;/&gt;&lt;wsp:rsid wsp:val=&quot;00650F9C&quot;/&gt;&lt;wsp:rsid wsp:val=&quot;006521B2&quot;/&gt;&lt;wsp:rsid wsp:val=&quot;006569AF&quot;/&gt;&lt;wsp:rsid wsp:val=&quot;00660A3F&quot;/&gt;&lt;wsp:rsid wsp:val=&quot;00660AC7&quot;/&gt;&lt;wsp:rsid wsp:val=&quot;00660BA4&quot;/&gt;&lt;wsp:rsid wsp:val=&quot;00661BA8&quot;/&gt;&lt;wsp:rsid wsp:val=&quot;00662C84&quot;/&gt;&lt;wsp:rsid wsp:val=&quot;00664543&quot;/&gt;&lt;wsp:rsid wsp:val=&quot;00664802&quot;/&gt;&lt;wsp:rsid wsp:val=&quot;00665F3E&quot;/&gt;&lt;wsp:rsid wsp:val=&quot;00675CC4&quot;/&gt;&lt;wsp:rsid wsp:val=&quot;00675FCE&quot;/&gt;&lt;wsp:rsid wsp:val=&quot;006761A7&quot;/&gt;&lt;wsp:rsid wsp:val=&quot;00680E57&quot;/&gt;&lt;wsp:rsid wsp:val=&quot;00682C98&quot;/&gt;&lt;wsp:rsid wsp:val=&quot;006871F1&quot;/&gt;&lt;wsp:rsid wsp:val=&quot;00697259&quot;/&gt;&lt;wsp:rsid wsp:val=&quot;006A36DB&quot;/&gt;&lt;wsp:rsid wsp:val=&quot;006A3D65&quot;/&gt;&lt;wsp:rsid wsp:val=&quot;006A432B&quot;/&gt;&lt;wsp:rsid wsp:val=&quot;006A6818&quot;/&gt;&lt;wsp:rsid wsp:val=&quot;006B0080&quot;/&gt;&lt;wsp:rsid wsp:val=&quot;006B1451&quot;/&gt;&lt;wsp:rsid wsp:val=&quot;006B1DDC&quot;/&gt;&lt;wsp:rsid wsp:val=&quot;006B26C5&quot;/&gt;&lt;wsp:rsid wsp:val=&quot;006B5C33&quot;/&gt;&lt;wsp:rsid wsp:val=&quot;006B7A8D&quot;/&gt;&lt;wsp:rsid wsp:val=&quot;006B7EC4&quot;/&gt;&lt;wsp:rsid wsp:val=&quot;006C1191&quot;/&gt;&lt;wsp:rsid wsp:val=&quot;006C4239&quot;/&gt;&lt;wsp:rsid wsp:val=&quot;006D0547&quot;/&gt;&lt;wsp:rsid wsp:val=&quot;006D5E04&quot;/&gt;&lt;wsp:rsid wsp:val=&quot;006D69C8&quot;/&gt;&lt;wsp:rsid wsp:val=&quot;006E3E0C&quot;/&gt;&lt;wsp:rsid wsp:val=&quot;006E54A6&quot;/&gt;&lt;wsp:rsid wsp:val=&quot;006E68A1&quot;/&gt;&lt;wsp:rsid wsp:val=&quot;006F0ECA&quot;/&gt;&lt;wsp:rsid wsp:val=&quot;006F466B&quot;/&gt;&lt;wsp:rsid wsp:val=&quot;006F4C25&quot;/&gt;&lt;wsp:rsid wsp:val=&quot;006F7431&quot;/&gt;&lt;wsp:rsid wsp:val=&quot;00704B4D&quot;/&gt;&lt;wsp:rsid wsp:val=&quot;007062F1&quot;/&gt;&lt;wsp:rsid wsp:val=&quot;00722214&quot;/&gt;&lt;wsp:rsid wsp:val=&quot;00731021&quot;/&gt;&lt;wsp:rsid wsp:val=&quot;00731537&quot;/&gt;&lt;wsp:rsid wsp:val=&quot;00732028&quot;/&gt;&lt;wsp:rsid wsp:val=&quot;00732567&quot;/&gt;&lt;wsp:rsid wsp:val=&quot;007330AF&quot;/&gt;&lt;wsp:rsid wsp:val=&quot;00733464&quot;/&gt;&lt;wsp:rsid wsp:val=&quot;00736EBE&quot;/&gt;&lt;wsp:rsid wsp:val=&quot;007406FB&quot;/&gt;&lt;wsp:rsid wsp:val=&quot;00740774&quot;/&gt;&lt;wsp:rsid wsp:val=&quot;00744471&quot;/&gt;&lt;wsp:rsid wsp:val=&quot;0074454B&quot;/&gt;&lt;wsp:rsid wsp:val=&quot;007456C2&quot;/&gt;&lt;wsp:rsid wsp:val=&quot;00750A7C&quot;/&gt;&lt;wsp:rsid wsp:val=&quot;00750E5F&quot;/&gt;&lt;wsp:rsid wsp:val=&quot;00750E70&quot;/&gt;&lt;wsp:rsid wsp:val=&quot;00751B8F&quot;/&gt;&lt;wsp:rsid wsp:val=&quot;00755D78&quot;/&gt;&lt;wsp:rsid wsp:val=&quot;00756549&quot;/&gt;&lt;wsp:rsid wsp:val=&quot;00756B1B&quot;/&gt;&lt;wsp:rsid wsp:val=&quot;00761CA4&quot;/&gt;&lt;wsp:rsid wsp:val=&quot;007653CC&quot;/&gt;&lt;wsp:rsid wsp:val=&quot;00770C11&quot;/&gt;&lt;wsp:rsid wsp:val=&quot;00771029&quot;/&gt;&lt;wsp:rsid wsp:val=&quot;00772EBC&quot;/&gt;&lt;wsp:rsid wsp:val=&quot;00777A21&quot;/&gt;&lt;wsp:rsid wsp:val=&quot;00777CAB&quot;/&gt;&lt;wsp:rsid wsp:val=&quot;00780D73&quot;/&gt;&lt;wsp:rsid wsp:val=&quot;0078590C&quot;/&gt;&lt;wsp:rsid wsp:val=&quot;00786100&quot;/&gt;&lt;wsp:rsid wsp:val=&quot;007875A4&quot;/&gt;&lt;wsp:rsid wsp:val=&quot;00791D3C&quot;/&gt;&lt;wsp:rsid wsp:val=&quot;0079348E&quot;/&gt;&lt;wsp:rsid wsp:val=&quot;00794464&quot;/&gt;&lt;wsp:rsid wsp:val=&quot;00797158&quot;/&gt;&lt;wsp:rsid wsp:val=&quot;007A0D33&quot;/&gt;&lt;wsp:rsid wsp:val=&quot;007A1C74&quot;/&gt;&lt;wsp:rsid wsp:val=&quot;007A30BC&quot;/&gt;&lt;wsp:rsid wsp:val=&quot;007A61E1&quot;/&gt;&lt;wsp:rsid wsp:val=&quot;007A6277&quot;/&gt;&lt;wsp:rsid wsp:val=&quot;007B0E32&quot;/&gt;&lt;wsp:rsid wsp:val=&quot;007B1A31&quot;/&gt;&lt;wsp:rsid wsp:val=&quot;007B3E64&quot;/&gt;&lt;wsp:rsid wsp:val=&quot;007B647F&quot;/&gt;&lt;wsp:rsid wsp:val=&quot;007B6DA9&quot;/&gt;&lt;wsp:rsid wsp:val=&quot;007C1E00&quot;/&gt;&lt;wsp:rsid wsp:val=&quot;007C24B6&quot;/&gt;&lt;wsp:rsid wsp:val=&quot;007C434E&quot;/&gt;&lt;wsp:rsid wsp:val=&quot;007C71C9&quot;/&gt;&lt;wsp:rsid wsp:val=&quot;007D1E51&quot;/&gt;&lt;wsp:rsid wsp:val=&quot;007D1EED&quot;/&gt;&lt;wsp:rsid wsp:val=&quot;007D4A2D&quot;/&gt;&lt;wsp:rsid wsp:val=&quot;007D57FB&quot;/&gt;&lt;wsp:rsid wsp:val=&quot;007D7570&quot;/&gt;&lt;wsp:rsid wsp:val=&quot;007E0E44&quot;/&gt;&lt;wsp:rsid wsp:val=&quot;007E365D&quot;/&gt;&lt;wsp:rsid wsp:val=&quot;007E5406&quot;/&gt;&lt;wsp:rsid wsp:val=&quot;007F09B5&quot;/&gt;&lt;wsp:rsid wsp:val=&quot;007F0A81&quot;/&gt;&lt;wsp:rsid wsp:val=&quot;007F18BA&quot;/&gt;&lt;wsp:rsid wsp:val=&quot;007F3627&quot;/&gt;&lt;wsp:rsid wsp:val=&quot;008073A9&quot;/&gt;&lt;wsp:rsid wsp:val=&quot;00811788&quot;/&gt;&lt;wsp:rsid wsp:val=&quot;00812F77&quot;/&gt;&lt;wsp:rsid wsp:val=&quot;00813E11&quot;/&gt;&lt;wsp:rsid wsp:val=&quot;00816328&quot;/&gt;&lt;wsp:rsid wsp:val=&quot;00820505&quot;/&gt;&lt;wsp:rsid wsp:val=&quot;00822266&quot;/&gt;&lt;wsp:rsid wsp:val=&quot;0082268B&quot;/&gt;&lt;wsp:rsid wsp:val=&quot;0082448E&quot;/&gt;&lt;wsp:rsid wsp:val=&quot;008266AC&quot;/&gt;&lt;wsp:rsid wsp:val=&quot;00826F9F&quot;/&gt;&lt;wsp:rsid wsp:val=&quot;008274C3&quot;/&gt;&lt;wsp:rsid wsp:val=&quot;008365F0&quot;/&gt;&lt;wsp:rsid wsp:val=&quot;00836DE2&quot;/&gt;&lt;wsp:rsid wsp:val=&quot;0083735C&quot;/&gt;&lt;wsp:rsid wsp:val=&quot;00842D1C&quot;/&gt;&lt;wsp:rsid wsp:val=&quot;00843259&quot;/&gt;&lt;wsp:rsid wsp:val=&quot;008449CC&quot;/&gt;&lt;wsp:rsid wsp:val=&quot;00851E2E&quot;/&gt;&lt;wsp:rsid wsp:val=&quot;008520AE&quot;/&gt;&lt;wsp:rsid wsp:val=&quot;00853ACC&quot;/&gt;&lt;wsp:rsid wsp:val=&quot;00854CDF&quot;/&gt;&lt;wsp:rsid wsp:val=&quot;00854D28&quot;/&gt;&lt;wsp:rsid wsp:val=&quot;00855EE5&quot;/&gt;&lt;wsp:rsid wsp:val=&quot;0086395A&quot;/&gt;&lt;wsp:rsid wsp:val=&quot;00864BE1&quot;/&gt;&lt;wsp:rsid wsp:val=&quot;008721D3&quot;/&gt;&lt;wsp:rsid wsp:val=&quot;008725C1&quot;/&gt;&lt;wsp:rsid wsp:val=&quot;00873380&quot;/&gt;&lt;wsp:rsid wsp:val=&quot;00874906&quot;/&gt;&lt;wsp:rsid wsp:val=&quot;00890B26&quot;/&gt;&lt;wsp:rsid wsp:val=&quot;00895642&quot;/&gt;&lt;wsp:rsid wsp:val=&quot;00896E93&quot;/&gt;&lt;wsp:rsid wsp:val=&quot;00896FA4&quot;/&gt;&lt;wsp:rsid wsp:val=&quot;008A2836&quot;/&gt;&lt;wsp:rsid wsp:val=&quot;008A3EE1&quot;/&gt;&lt;wsp:rsid wsp:val=&quot;008A581D&quot;/&gt;&lt;wsp:rsid wsp:val=&quot;008B01F4&quot;/&gt;&lt;wsp:rsid wsp:val=&quot;008B5339&quot;/&gt;&lt;wsp:rsid wsp:val=&quot;008B7E2E&quot;/&gt;&lt;wsp:rsid wsp:val=&quot;008C6A52&quot;/&gt;&lt;wsp:rsid wsp:val=&quot;008C7EB7&quot;/&gt;&lt;wsp:rsid wsp:val=&quot;008D292C&quot;/&gt;&lt;wsp:rsid wsp:val=&quot;008D3C90&quot;/&gt;&lt;wsp:rsid wsp:val=&quot;008D5BC9&quot;/&gt;&lt;wsp:rsid wsp:val=&quot;008D68E0&quot;/&gt;&lt;wsp:rsid wsp:val=&quot;008E3665&quot;/&gt;&lt;wsp:rsid wsp:val=&quot;008E52E0&quot;/&gt;&lt;wsp:rsid wsp:val=&quot;008E6A2C&quot;/&gt;&lt;wsp:rsid wsp:val=&quot;008F1B16&quot;/&gt;&lt;wsp:rsid wsp:val=&quot;008F3BC4&quot;/&gt;&lt;wsp:rsid wsp:val=&quot;008F599B&quot;/&gt;&lt;wsp:rsid wsp:val=&quot;00901CCF&quot;/&gt;&lt;wsp:rsid wsp:val=&quot;009032D2&quot;/&gt;&lt;wsp:rsid wsp:val=&quot;0090730F&quot;/&gt;&lt;wsp:rsid wsp:val=&quot;0090764B&quot;/&gt;&lt;wsp:rsid wsp:val=&quot;00910EF3&quot;/&gt;&lt;wsp:rsid wsp:val=&quot;009147A5&quot;/&gt;&lt;wsp:rsid wsp:val=&quot;00917E33&quot;/&gt;&lt;wsp:rsid wsp:val=&quot;0092109C&quot;/&gt;&lt;wsp:rsid wsp:val=&quot;00922D14&quot;/&gt;&lt;wsp:rsid wsp:val=&quot;009238A2&quot;/&gt;&lt;wsp:rsid wsp:val=&quot;00925A39&quot;/&gt;&lt;wsp:rsid wsp:val=&quot;00926433&quot;/&gt;&lt;wsp:rsid wsp:val=&quot;00933666&quot;/&gt;&lt;wsp:rsid wsp:val=&quot;00934372&quot;/&gt;&lt;wsp:rsid wsp:val=&quot;00940C1B&quot;/&gt;&lt;wsp:rsid wsp:val=&quot;00941124&quot;/&gt;&lt;wsp:rsid wsp:val=&quot;00941DD4&quot;/&gt;&lt;wsp:rsid wsp:val=&quot;00942CCC&quot;/&gt;&lt;wsp:rsid wsp:val=&quot;00944992&quot;/&gt;&lt;wsp:rsid wsp:val=&quot;009468BE&quot;/&gt;&lt;wsp:rsid wsp:val=&quot;009475A6&quot;/&gt;&lt;wsp:rsid wsp:val=&quot;0095146A&quot;/&gt;&lt;wsp:rsid wsp:val=&quot;00951DD6&quot;/&gt;&lt;wsp:rsid wsp:val=&quot;00952AA3&quot;/&gt;&lt;wsp:rsid wsp:val=&quot;00953D13&quot;/&gt;&lt;wsp:rsid wsp:val=&quot;0095450D&quot;/&gt;&lt;wsp:rsid wsp:val=&quot;009550A6&quot;/&gt;&lt;wsp:rsid wsp:val=&quot;00956272&quot;/&gt;&lt;wsp:rsid wsp:val=&quot;0096595A&quot;/&gt;&lt;wsp:rsid wsp:val=&quot;00967304&quot;/&gt;&lt;wsp:rsid wsp:val=&quot;00970887&quot;/&gt;&lt;wsp:rsid wsp:val=&quot;009715BA&quot;/&gt;&lt;wsp:rsid wsp:val=&quot;00972099&quot;/&gt;&lt;wsp:rsid wsp:val=&quot;00972267&quot;/&gt;&lt;wsp:rsid wsp:val=&quot;0097737F&quot;/&gt;&lt;wsp:rsid wsp:val=&quot;0098085A&quot;/&gt;&lt;wsp:rsid wsp:val=&quot;00982905&quot;/&gt;&lt;wsp:rsid wsp:val=&quot;00982E28&quot;/&gt;&lt;wsp:rsid wsp:val=&quot;0098650F&quot;/&gt;&lt;wsp:rsid wsp:val=&quot;00991B57&quot;/&gt;&lt;wsp:rsid wsp:val=&quot;00992434&quot;/&gt;&lt;wsp:rsid wsp:val=&quot;009A0EE3&quot;/&gt;&lt;wsp:rsid wsp:val=&quot;009A2193&quot;/&gt;&lt;wsp:rsid wsp:val=&quot;009A23BA&quot;/&gt;&lt;wsp:rsid wsp:val=&quot;009A4E64&quot;/&gt;&lt;wsp:rsid wsp:val=&quot;009A6237&quot;/&gt;&lt;wsp:rsid wsp:val=&quot;009A7634&quot;/&gt;&lt;wsp:rsid wsp:val=&quot;009B1465&quot;/&gt;&lt;wsp:rsid wsp:val=&quot;009B1BD1&quot;/&gt;&lt;wsp:rsid wsp:val=&quot;009B2A4D&quot;/&gt;&lt;wsp:rsid wsp:val=&quot;009B5661&quot;/&gt;&lt;wsp:rsid wsp:val=&quot;009B568A&quot;/&gt;&lt;wsp:rsid wsp:val=&quot;009B67D9&quot;/&gt;&lt;wsp:rsid wsp:val=&quot;009C0F42&quot;/&gt;&lt;wsp:rsid wsp:val=&quot;009C3060&quot;/&gt;&lt;wsp:rsid wsp:val=&quot;009C4827&quot;/&gt;&lt;wsp:rsid wsp:val=&quot;009C5992&quot;/&gt;&lt;wsp:rsid wsp:val=&quot;009C798D&quot;/&gt;&lt;wsp:rsid wsp:val=&quot;009C79E1&quot;/&gt;&lt;wsp:rsid wsp:val=&quot;009D1CD6&quot;/&gt;&lt;wsp:rsid wsp:val=&quot;009D7515&quot;/&gt;&lt;wsp:rsid wsp:val=&quot;009E2F04&quot;/&gt;&lt;wsp:rsid wsp:val=&quot;009E71F9&quot;/&gt;&lt;wsp:rsid wsp:val=&quot;009F34C1&quot;/&gt;&lt;wsp:rsid wsp:val=&quot;00A07A84&quot;/&gt;&lt;wsp:rsid wsp:val=&quot;00A12A1D&quot;/&gt;&lt;wsp:rsid wsp:val=&quot;00A13F78&quot;/&gt;&lt;wsp:rsid wsp:val=&quot;00A15635&quot;/&gt;&lt;wsp:rsid wsp:val=&quot;00A1760F&quot;/&gt;&lt;wsp:rsid wsp:val=&quot;00A17C28&quot;/&gt;&lt;wsp:rsid wsp:val=&quot;00A20602&quot;/&gt;&lt;wsp:rsid wsp:val=&quot;00A21FF6&quot;/&gt;&lt;wsp:rsid wsp:val=&quot;00A247B6&quot;/&gt;&lt;wsp:rsid wsp:val=&quot;00A25D9C&quot;/&gt;&lt;wsp:rsid wsp:val=&quot;00A31138&quot;/&gt;&lt;wsp:rsid wsp:val=&quot;00A36D8C&quot;/&gt;&lt;wsp:rsid wsp:val=&quot;00A41E48&quot;/&gt;&lt;wsp:rsid wsp:val=&quot;00A53453&quot;/&gt;&lt;wsp:rsid wsp:val=&quot;00A550FD&quot;/&gt;&lt;wsp:rsid wsp:val=&quot;00A57D3A&quot;/&gt;&lt;wsp:rsid wsp:val=&quot;00A6000E&quot;/&gt;&lt;wsp:rsid wsp:val=&quot;00A60C74&quot;/&gt;&lt;wsp:rsid wsp:val=&quot;00A61AE3&quot;/&gt;&lt;wsp:rsid wsp:val=&quot;00A71292&quot;/&gt;&lt;wsp:rsid wsp:val=&quot;00A723E2&quot;/&gt;&lt;wsp:rsid wsp:val=&quot;00A72491&quot;/&gt;&lt;wsp:rsid wsp:val=&quot;00A75D85&quot;/&gt;&lt;wsp:rsid wsp:val=&quot;00A766FC&quot;/&gt;&lt;wsp:rsid wsp:val=&quot;00A77B57&quot;/&gt;&lt;wsp:rsid wsp:val=&quot;00A83A0F&quot;/&gt;&lt;wsp:rsid wsp:val=&quot;00A864F0&quot;/&gt;&lt;wsp:rsid wsp:val=&quot;00A90F49&quot;/&gt;&lt;wsp:rsid wsp:val=&quot;00A947EC&quot;/&gt;&lt;wsp:rsid wsp:val=&quot;00A9494B&quot;/&gt;&lt;wsp:rsid wsp:val=&quot;00A97758&quot;/&gt;&lt;wsp:rsid wsp:val=&quot;00AA355B&quot;/&gt;&lt;wsp:rsid wsp:val=&quot;00AA6949&quot;/&gt;&lt;wsp:rsid wsp:val=&quot;00AB13CA&quot;/&gt;&lt;wsp:rsid wsp:val=&quot;00AB5E6E&quot;/&gt;&lt;wsp:rsid wsp:val=&quot;00AB64B6&quot;/&gt;&lt;wsp:rsid wsp:val=&quot;00AB6F9E&quot;/&gt;&lt;wsp:rsid wsp:val=&quot;00AC5FE2&quot;/&gt;&lt;wsp:rsid wsp:val=&quot;00AD1E91&quot;/&gt;&lt;wsp:rsid wsp:val=&quot;00AD2638&quot;/&gt;&lt;wsp:rsid wsp:val=&quot;00AE0A42&quot;/&gt;&lt;wsp:rsid wsp:val=&quot;00AE1C6D&quot;/&gt;&lt;wsp:rsid wsp:val=&quot;00AE2692&quot;/&gt;&lt;wsp:rsid wsp:val=&quot;00AE2EBE&quot;/&gt;&lt;wsp:rsid wsp:val=&quot;00AE344C&quot;/&gt;&lt;wsp:rsid wsp:val=&quot;00AE6ED2&quot;/&gt;&lt;wsp:rsid wsp:val=&quot;00AE730F&quot;/&gt;&lt;wsp:rsid wsp:val=&quot;00AF0488&quot;/&gt;&lt;wsp:rsid wsp:val=&quot;00AF4D5A&quot;/&gt;&lt;wsp:rsid wsp:val=&quot;00AF5719&quot;/&gt;&lt;wsp:rsid wsp:val=&quot;00B01079&quot;/&gt;&lt;wsp:rsid wsp:val=&quot;00B02745&quot;/&gt;&lt;wsp:rsid wsp:val=&quot;00B035A7&quot;/&gt;&lt;wsp:rsid wsp:val=&quot;00B055B6&quot;/&gt;&lt;wsp:rsid wsp:val=&quot;00B0641F&quot;/&gt;&lt;wsp:rsid wsp:val=&quot;00B163AD&quot;/&gt;&lt;wsp:rsid wsp:val=&quot;00B3257C&quot;/&gt;&lt;wsp:rsid wsp:val=&quot;00B33038&quot;/&gt;&lt;wsp:rsid wsp:val=&quot;00B35511&quot;/&gt;&lt;wsp:rsid wsp:val=&quot;00B35AF8&quot;/&gt;&lt;wsp:rsid wsp:val=&quot;00B40A73&quot;/&gt;&lt;wsp:rsid wsp:val=&quot;00B4245C&quot;/&gt;&lt;wsp:rsid wsp:val=&quot;00B4636F&quot;/&gt;&lt;wsp:rsid wsp:val=&quot;00B50B08&quot;/&gt;&lt;wsp:rsid wsp:val=&quot;00B53A9E&quot;/&gt;&lt;wsp:rsid wsp:val=&quot;00B54339&quot;/&gt;&lt;wsp:rsid wsp:val=&quot;00B55A42&quot;/&gt;&lt;wsp:rsid wsp:val=&quot;00B55B5E&quot;/&gt;&lt;wsp:rsid wsp:val=&quot;00B626B3&quot;/&gt;&lt;wsp:rsid wsp:val=&quot;00B628D0&quot;/&gt;&lt;wsp:rsid wsp:val=&quot;00B65FA4&quot;/&gt;&lt;wsp:rsid wsp:val=&quot;00B67E04&quot;/&gt;&lt;wsp:rsid wsp:val=&quot;00B70BB2&quot;/&gt;&lt;wsp:rsid wsp:val=&quot;00B71893&quot;/&gt;&lt;wsp:rsid wsp:val=&quot;00B72FAD&quot;/&gt;&lt;wsp:rsid wsp:val=&quot;00B7344B&quot;/&gt;&lt;wsp:rsid wsp:val=&quot;00B73AA7&quot;/&gt;&lt;wsp:rsid wsp:val=&quot;00B74F3E&quot;/&gt;&lt;wsp:rsid wsp:val=&quot;00B76945&quot;/&gt;&lt;wsp:rsid wsp:val=&quot;00B82EDA&quot;/&gt;&lt;wsp:rsid wsp:val=&quot;00B83599&quot;/&gt;&lt;wsp:rsid wsp:val=&quot;00B839FB&quot;/&gt;&lt;wsp:rsid wsp:val=&quot;00B848F4&quot;/&gt;&lt;wsp:rsid wsp:val=&quot;00B91901&quot;/&gt;&lt;wsp:rsid wsp:val=&quot;00B93E16&quot;/&gt;&lt;wsp:rsid wsp:val=&quot;00B93E73&quot;/&gt;&lt;wsp:rsid wsp:val=&quot;00BA1288&quot;/&gt;&lt;wsp:rsid wsp:val=&quot;00BA4026&quot;/&gt;&lt;wsp:rsid wsp:val=&quot;00BA41AA&quot;/&gt;&lt;wsp:rsid wsp:val=&quot;00BA51EE&quot;/&gt;&lt;wsp:rsid wsp:val=&quot;00BA70D4&quot;/&gt;&lt;wsp:rsid wsp:val=&quot;00BB1BFE&quot;/&gt;&lt;wsp:rsid wsp:val=&quot;00BB474A&quot;/&gt;&lt;wsp:rsid wsp:val=&quot;00BC0E31&quot;/&gt;&lt;wsp:rsid wsp:val=&quot;00BC3F8A&quot;/&gt;&lt;wsp:rsid wsp:val=&quot;00BC6430&quot;/&gt;&lt;wsp:rsid wsp:val=&quot;00BC66E2&quot;/&gt;&lt;wsp:rsid wsp:val=&quot;00BD156F&quot;/&gt;&lt;wsp:rsid wsp:val=&quot;00BE4D84&quot;/&gt;&lt;wsp:rsid wsp:val=&quot;00BE5C0C&quot;/&gt;&lt;wsp:rsid wsp:val=&quot;00BE7443&quot;/&gt;&lt;wsp:rsid wsp:val=&quot;00BF2A22&quot;/&gt;&lt;wsp:rsid wsp:val=&quot;00BF58FC&quot;/&gt;&lt;wsp:rsid wsp:val=&quot;00C01D73&quot;/&gt;&lt;wsp:rsid wsp:val=&quot;00C02ED6&quot;/&gt;&lt;wsp:rsid wsp:val=&quot;00C11E90&quot;/&gt;&lt;wsp:rsid wsp:val=&quot;00C13D4E&quot;/&gt;&lt;wsp:rsid wsp:val=&quot;00C1590D&quot;/&gt;&lt;wsp:rsid wsp:val=&quot;00C2337D&quot;/&gt;&lt;wsp:rsid wsp:val=&quot;00C23F1B&quot;/&gt;&lt;wsp:rsid wsp:val=&quot;00C306A4&quot;/&gt;&lt;wsp:rsid wsp:val=&quot;00C30998&quot;/&gt;&lt;wsp:rsid wsp:val=&quot;00C30B7B&quot;/&gt;&lt;wsp:rsid wsp:val=&quot;00C325D7&quot;/&gt;&lt;wsp:rsid wsp:val=&quot;00C37561&quot;/&gt;&lt;wsp:rsid wsp:val=&quot;00C4024D&quot;/&gt;&lt;wsp:rsid wsp:val=&quot;00C40F0A&quot;/&gt;&lt;wsp:rsid wsp:val=&quot;00C43F7D&quot;/&gt;&lt;wsp:rsid wsp:val=&quot;00C44277&quot;/&gt;&lt;wsp:rsid wsp:val=&quot;00C464B3&quot;/&gt;&lt;wsp:rsid wsp:val=&quot;00C55411&quot;/&gt;&lt;wsp:rsid wsp:val=&quot;00C56000&quot;/&gt;&lt;wsp:rsid wsp:val=&quot;00C56C82&quot;/&gt;&lt;wsp:rsid wsp:val=&quot;00C60369&quot;/&gt;&lt;wsp:rsid wsp:val=&quot;00C632A0&quot;/&gt;&lt;wsp:rsid wsp:val=&quot;00C64849&quot;/&gt;&lt;wsp:rsid wsp:val=&quot;00C7120E&quot;/&gt;&lt;wsp:rsid wsp:val=&quot;00C7151C&quot;/&gt;&lt;wsp:rsid wsp:val=&quot;00C773C2&quot;/&gt;&lt;wsp:rsid wsp:val=&quot;00C80225&quot;/&gt;&lt;wsp:rsid wsp:val=&quot;00C81504&quot;/&gt;&lt;wsp:rsid wsp:val=&quot;00C83693&quot;/&gt;&lt;wsp:rsid wsp:val=&quot;00C83CA2&quot;/&gt;&lt;wsp:rsid wsp:val=&quot;00C8605D&quot;/&gt;&lt;wsp:rsid wsp:val=&quot;00C869C3&quot;/&gt;&lt;wsp:rsid wsp:val=&quot;00C87064&quot;/&gt;&lt;wsp:rsid wsp:val=&quot;00C87BA0&quot;/&gt;&lt;wsp:rsid wsp:val=&quot;00C901CF&quot;/&gt;&lt;wsp:rsid wsp:val=&quot;00C91576&quot;/&gt;&lt;wsp:rsid wsp:val=&quot;00C93C20&quot;/&gt;&lt;wsp:rsid wsp:val=&quot;00C94581&quot;/&gt;&lt;wsp:rsid wsp:val=&quot;00C96493&quot;/&gt;&lt;wsp:rsid wsp:val=&quot;00CA3078&quot;/&gt;&lt;wsp:rsid wsp:val=&quot;00CA3DA3&quot;/&gt;&lt;wsp:rsid wsp:val=&quot;00CA4BF2&quot;/&gt;&lt;wsp:rsid wsp:val=&quot;00CA6137&quot;/&gt;&lt;wsp:rsid wsp:val=&quot;00CB4628&quot;/&gt;&lt;wsp:rsid wsp:val=&quot;00CC2FE0&quot;/&gt;&lt;wsp:rsid wsp:val=&quot;00CC77D9&quot;/&gt;&lt;wsp:rsid wsp:val=&quot;00CD2F1F&quot;/&gt;&lt;wsp:rsid wsp:val=&quot;00CD3006&quot;/&gt;&lt;wsp:rsid wsp:val=&quot;00CD4C5E&quot;/&gt;&lt;wsp:rsid wsp:val=&quot;00CE161B&quot;/&gt;&lt;wsp:rsid wsp:val=&quot;00CE276B&quot;/&gt;&lt;wsp:rsid wsp:val=&quot;00CE4965&quot;/&gt;&lt;wsp:rsid wsp:val=&quot;00CE70F6&quot;/&gt;&lt;wsp:rsid wsp:val=&quot;00CE7EE9&quot;/&gt;&lt;wsp:rsid wsp:val=&quot;00CF4FAF&quot;/&gt;&lt;wsp:rsid wsp:val=&quot;00CF66D8&quot;/&gt;&lt;wsp:rsid wsp:val=&quot;00D00AFC&quot;/&gt;&lt;wsp:rsid wsp:val=&quot;00D00DF2&quot;/&gt;&lt;wsp:rsid wsp:val=&quot;00D027B2&quot;/&gt;&lt;wsp:rsid wsp:val=&quot;00D04074&quot;/&gt;&lt;wsp:rsid wsp:val=&quot;00D04729&quot;/&gt;&lt;wsp:rsid wsp:val=&quot;00D04CA0&quot;/&gt;&lt;wsp:rsid wsp:val=&quot;00D07CFD&quot;/&gt;&lt;wsp:rsid wsp:val=&quot;00D133A2&quot;/&gt;&lt;wsp:rsid wsp:val=&quot;00D13CEE&quot;/&gt;&lt;wsp:rsid wsp:val=&quot;00D17C23&quot;/&gt;&lt;wsp:rsid wsp:val=&quot;00D17E46&quot;/&gt;&lt;wsp:rsid wsp:val=&quot;00D218C5&quot;/&gt;&lt;wsp:rsid wsp:val=&quot;00D21AE1&quot;/&gt;&lt;wsp:rsid wsp:val=&quot;00D23DBA&quot;/&gt;&lt;wsp:rsid wsp:val=&quot;00D270C8&quot;/&gt;&lt;wsp:rsid wsp:val=&quot;00D322F9&quot;/&gt;&lt;wsp:rsid wsp:val=&quot;00D36B45&quot;/&gt;&lt;wsp:rsid wsp:val=&quot;00D41B93&quot;/&gt;&lt;wsp:rsid wsp:val=&quot;00D42A9D&quot;/&gt;&lt;wsp:rsid wsp:val=&quot;00D44433&quot;/&gt;&lt;wsp:rsid wsp:val=&quot;00D47F62&quot;/&gt;&lt;wsp:rsid wsp:val=&quot;00D56A5E&quot;/&gt;&lt;wsp:rsid wsp:val=&quot;00D57CCC&quot;/&gt;&lt;wsp:rsid wsp:val=&quot;00D639E1&quot;/&gt;&lt;wsp:rsid wsp:val=&quot;00D6724C&quot;/&gt;&lt;wsp:rsid wsp:val=&quot;00D6783F&quot;/&gt;&lt;wsp:rsid wsp:val=&quot;00D70C2D&quot;/&gt;&lt;wsp:rsid wsp:val=&quot;00D70F35&quot;/&gt;&lt;wsp:rsid wsp:val=&quot;00D71F49&quot;/&gt;&lt;wsp:rsid wsp:val=&quot;00D734CB&quot;/&gt;&lt;wsp:rsid wsp:val=&quot;00D76467&quot;/&gt;&lt;wsp:rsid wsp:val=&quot;00D7696A&quot;/&gt;&lt;wsp:rsid wsp:val=&quot;00D77AEB&quot;/&gt;&lt;wsp:rsid wsp:val=&quot;00D80854&quot;/&gt;&lt;wsp:rsid wsp:val=&quot;00D87DAC&quot;/&gt;&lt;wsp:rsid wsp:val=&quot;00D918D2&quot;/&gt;&lt;wsp:rsid wsp:val=&quot;00D91E6C&quot;/&gt;&lt;wsp:rsid wsp:val=&quot;00D95336&quot;/&gt;&lt;wsp:rsid wsp:val=&quot;00D95599&quot;/&gt;&lt;wsp:rsid wsp:val=&quot;00D967AF&quot;/&gt;&lt;wsp:rsid wsp:val=&quot;00D9707A&quot;/&gt;&lt;wsp:rsid wsp:val=&quot;00D9748C&quot;/&gt;&lt;wsp:rsid wsp:val=&quot;00D97FD9&quot;/&gt;&lt;wsp:rsid wsp:val=&quot;00DA57CB&quot;/&gt;&lt;wsp:rsid wsp:val=&quot;00DA7BAF&quot;/&gt;&lt;wsp:rsid wsp:val=&quot;00DB26C1&quot;/&gt;&lt;wsp:rsid wsp:val=&quot;00DB75E4&quot;/&gt;&lt;wsp:rsid wsp:val=&quot;00DB77F2&quot;/&gt;&lt;wsp:rsid wsp:val=&quot;00DC24F9&quot;/&gt;&lt;wsp:rsid wsp:val=&quot;00DC33A8&quot;/&gt;&lt;wsp:rsid wsp:val=&quot;00DC36C2&quot;/&gt;&lt;wsp:rsid wsp:val=&quot;00DC4297&quot;/&gt;&lt;wsp:rsid wsp:val=&quot;00DC4F9C&quot;/&gt;&lt;wsp:rsid wsp:val=&quot;00DC502B&quot;/&gt;&lt;wsp:rsid wsp:val=&quot;00DC5394&quot;/&gt;&lt;wsp:rsid wsp:val=&quot;00DC556C&quot;/&gt;&lt;wsp:rsid wsp:val=&quot;00DD106C&quot;/&gt;&lt;wsp:rsid wsp:val=&quot;00DD1DB2&quot;/&gt;&lt;wsp:rsid wsp:val=&quot;00DD6228&quot;/&gt;&lt;wsp:rsid wsp:val=&quot;00DE1001&quot;/&gt;&lt;wsp:rsid wsp:val=&quot;00DE1769&quot;/&gt;&lt;wsp:rsid wsp:val=&quot;00DE1E25&quot;/&gt;&lt;wsp:rsid wsp:val=&quot;00DE41EF&quot;/&gt;&lt;wsp:rsid wsp:val=&quot;00DE479C&quot;/&gt;&lt;wsp:rsid wsp:val=&quot;00DF6CB1&quot;/&gt;&lt;wsp:rsid wsp:val=&quot;00E0077A&quot;/&gt;&lt;wsp:rsid wsp:val=&quot;00E07034&quot;/&gt;&lt;wsp:rsid wsp:val=&quot;00E105A7&quot;/&gt;&lt;wsp:rsid wsp:val=&quot;00E13446&quot;/&gt;&lt;wsp:rsid wsp:val=&quot;00E141AB&quot;/&gt;&lt;wsp:rsid wsp:val=&quot;00E15C0B&quot;/&gt;&lt;wsp:rsid wsp:val=&quot;00E160AE&quot;/&gt;&lt;wsp:rsid wsp:val=&quot;00E20B8E&quot;/&gt;&lt;wsp:rsid wsp:val=&quot;00E35FA2&quot;/&gt;&lt;wsp:rsid wsp:val=&quot;00E37961&quot;/&gt;&lt;wsp:rsid wsp:val=&quot;00E42157&quot;/&gt;&lt;wsp:rsid wsp:val=&quot;00E42C0D&quot;/&gt;&lt;wsp:rsid wsp:val=&quot;00E53AD2&quot;/&gt;&lt;wsp:rsid wsp:val=&quot;00E547F7&quot;/&gt;&lt;wsp:rsid wsp:val=&quot;00E574D2&quot;/&gt;&lt;wsp:rsid wsp:val=&quot;00E57DEA&quot;/&gt;&lt;wsp:rsid wsp:val=&quot;00E61231&quot;/&gt;&lt;wsp:rsid wsp:val=&quot;00E64F79&quot;/&gt;&lt;wsp:rsid wsp:val=&quot;00E6756B&quot;/&gt;&lt;wsp:rsid wsp:val=&quot;00E758C1&quot;/&gt;&lt;wsp:rsid wsp:val=&quot;00E766A1&quot;/&gt;&lt;wsp:rsid wsp:val=&quot;00E76C2F&quot;/&gt;&lt;wsp:rsid wsp:val=&quot;00E77A75&quot;/&gt;&lt;wsp:rsid wsp:val=&quot;00E81B64&quot;/&gt;&lt;wsp:rsid wsp:val=&quot;00E8469C&quot;/&gt;&lt;wsp:rsid wsp:val=&quot;00E86345&quot;/&gt;&lt;wsp:rsid wsp:val=&quot;00E86AAB&quot;/&gt;&lt;wsp:rsid wsp:val=&quot;00E86EA4&quot;/&gt;&lt;wsp:rsid wsp:val=&quot;00E87CE5&quot;/&gt;&lt;wsp:rsid wsp:val=&quot;00E910C0&quot;/&gt;&lt;wsp:rsid wsp:val=&quot;00E97A21&quot;/&gt;&lt;wsp:rsid wsp:val=&quot;00EA1A10&quot;/&gt;&lt;wsp:rsid wsp:val=&quot;00EA5046&quot;/&gt;&lt;wsp:rsid wsp:val=&quot;00EA5330&quot;/&gt;&lt;wsp:rsid wsp:val=&quot;00EC1F26&quot;/&gt;&lt;wsp:rsid wsp:val=&quot;00EC2C53&quot;/&gt;&lt;wsp:rsid wsp:val=&quot;00EC45E8&quot;/&gt;&lt;wsp:rsid wsp:val=&quot;00EC56FA&quot;/&gt;&lt;wsp:rsid wsp:val=&quot;00ED193C&quot;/&gt;&lt;wsp:rsid wsp:val=&quot;00EE1C5D&quot;/&gt;&lt;wsp:rsid wsp:val=&quot;00EE35F7&quot;/&gt;&lt;wsp:rsid wsp:val=&quot;00EE6697&quot;/&gt;&lt;wsp:rsid wsp:val=&quot;00EF0D47&quot;/&gt;&lt;wsp:rsid wsp:val=&quot;00EF0F99&quot;/&gt;&lt;wsp:rsid wsp:val=&quot;00EF1839&quot;/&gt;&lt;wsp:rsid wsp:val=&quot;00EF25C0&quot;/&gt;&lt;wsp:rsid wsp:val=&quot;00EF2F90&quot;/&gt;&lt;wsp:rsid wsp:val=&quot;00EF4ACF&quot;/&gt;&lt;wsp:rsid wsp:val=&quot;00EF53B8&quot;/&gt;&lt;wsp:rsid wsp:val=&quot;00F051E4&quot;/&gt;&lt;wsp:rsid wsp:val=&quot;00F0729F&quot;/&gt;&lt;wsp:rsid wsp:val=&quot;00F113BC&quot;/&gt;&lt;wsp:rsid wsp:val=&quot;00F1272D&quot;/&gt;&lt;wsp:rsid wsp:val=&quot;00F14354&quot;/&gt;&lt;wsp:rsid wsp:val=&quot;00F14C6D&quot;/&gt;&lt;wsp:rsid wsp:val=&quot;00F22CAE&quot;/&gt;&lt;wsp:rsid wsp:val=&quot;00F24710&quot;/&gt;&lt;wsp:rsid wsp:val=&quot;00F310F2&quot;/&gt;&lt;wsp:rsid wsp:val=&quot;00F32078&quot;/&gt;&lt;wsp:rsid wsp:val=&quot;00F41981&quot;/&gt;&lt;wsp:rsid wsp:val=&quot;00F42D30&quot;/&gt;&lt;wsp:rsid wsp:val=&quot;00F4580A&quot;/&gt;&lt;wsp:rsid wsp:val=&quot;00F563C4&quot;/&gt;&lt;wsp:rsid wsp:val=&quot;00F611C3&quot;/&gt;&lt;wsp:rsid wsp:val=&quot;00F662A3&quot;/&gt;&lt;wsp:rsid wsp:val=&quot;00F67C8E&quot;/&gt;&lt;wsp:rsid wsp:val=&quot;00F70F83&quot;/&gt;&lt;wsp:rsid wsp:val=&quot;00F7227A&quot;/&gt;&lt;wsp:rsid wsp:val=&quot;00F73FFE&quot;/&gt;&lt;wsp:rsid wsp:val=&quot;00F75E6D&quot;/&gt;&lt;wsp:rsid wsp:val=&quot;00F83785&quot;/&gt;&lt;wsp:rsid wsp:val=&quot;00F87B30&quot;/&gt;&lt;wsp:rsid wsp:val=&quot;00F90268&quot;/&gt;&lt;wsp:rsid wsp:val=&quot;00F91038&quot;/&gt;&lt;wsp:rsid wsp:val=&quot;00F94C74&quot;/&gt;&lt;wsp:rsid wsp:val=&quot;00F975E3&quot;/&gt;&lt;wsp:rsid wsp:val=&quot;00FB02B0&quot;/&gt;&lt;wsp:rsid wsp:val=&quot;00FB06B4&quot;/&gt;&lt;wsp:rsid wsp:val=&quot;00FB2474&quot;/&gt;&lt;wsp:rsid wsp:val=&quot;00FB3AEE&quot;/&gt;&lt;wsp:rsid wsp:val=&quot;00FC0B1A&quot;/&gt;&lt;wsp:rsid wsp:val=&quot;00FC469B&quot;/&gt;&lt;wsp:rsid wsp:val=&quot;00FC5AA7&quot;/&gt;&lt;wsp:rsid wsp:val=&quot;00FC62FC&quot;/&gt;&lt;wsp:rsid wsp:val=&quot;00FE001F&quot;/&gt;&lt;wsp:rsid wsp:val=&quot;00FE0A87&quot;/&gt;&lt;wsp:rsid wsp:val=&quot;00FE0AC9&quot;/&gt;&lt;wsp:rsid wsp:val=&quot;00FE41B1&quot;/&gt;&lt;wsp:rsid wsp:val=&quot;00FE4EA0&quot;/&gt;&lt;wsp:rsid wsp:val=&quot;00FE558F&quot;/&gt;&lt;wsp:rsid wsp:val=&quot;00FE5DA8&quot;/&gt;&lt;wsp:rsid wsp:val=&quot;00FE5FC7&quot;/&gt;&lt;wsp:rsid wsp:val=&quot;00FE7787&quot;/&gt;&lt;wsp:rsid wsp:val=&quot;00FF1EA0&quot;/&gt;&lt;wsp:rsid wsp:val=&quot;00FF4A90&quot;/&gt;&lt;wsp:rsid wsp:val=&quot;00FF5565&quot;/&gt;&lt;wsp:rsid wsp:val=&quot;00FF5748&quot;/&gt;&lt;wsp:rsid wsp:val=&quot;0473295E&quot;/&gt;&lt;wsp:rsid wsp:val=&quot;04986DFD&quot;/&gt;&lt;wsp:rsid wsp:val=&quot;06BE37E8&quot;/&gt;&lt;wsp:rsid wsp:val=&quot;06EF71BB&quot;/&gt;&lt;wsp:rsid wsp:val=&quot;073F3271&quot;/&gt;&lt;wsp:rsid wsp:val=&quot;0867295F&quot;/&gt;&lt;wsp:rsid wsp:val=&quot;0F364859&quot;/&gt;&lt;wsp:rsid wsp:val=&quot;12E41248&quot;/&gt;&lt;wsp:rsid wsp:val=&quot;16C52C78&quot;/&gt;&lt;wsp:rsid wsp:val=&quot;19C071D8&quot;/&gt;&lt;wsp:rsid wsp:val=&quot;2053311E&quot;/&gt;&lt;wsp:rsid wsp:val=&quot;20BF36A8&quot;/&gt;&lt;wsp:rsid wsp:val=&quot;2203702B&quot;/&gt;&lt;wsp:rsid wsp:val=&quot;25EB3C37&quot;/&gt;&lt;wsp:rsid wsp:val=&quot;2D0A43BB&quot;/&gt;&lt;wsp:rsid wsp:val=&quot;2FDD5020&quot;/&gt;&lt;wsp:rsid wsp:val=&quot;388A772D&quot;/&gt;&lt;wsp:rsid wsp:val=&quot;3915707E&quot;/&gt;&lt;wsp:rsid wsp:val=&quot;396750EC&quot;/&gt;&lt;wsp:rsid wsp:val=&quot;3BF255E8&quot;/&gt;&lt;wsp:rsid wsp:val=&quot;3C2036D5&quot;/&gt;&lt;wsp:rsid wsp:val=&quot;3CDB285C&quot;/&gt;&lt;wsp:rsid wsp:val=&quot;40A70CE6&quot;/&gt;&lt;wsp:rsid wsp:val=&quot;44E64F90&quot;/&gt;&lt;wsp:rsid wsp:val=&quot;48AB4BEA&quot;/&gt;&lt;wsp:rsid wsp:val=&quot;4A0D2402&quot;/&gt;&lt;wsp:rsid wsp:val=&quot;4D3669F2&quot;/&gt;&lt;wsp:rsid wsp:val=&quot;504363EF&quot;/&gt;&lt;wsp:rsid wsp:val=&quot;515E432B&quot;/&gt;&lt;wsp:rsid wsp:val=&quot;519B5BB9&quot;/&gt;&lt;wsp:rsid wsp:val=&quot;55821135&quot;/&gt;&lt;wsp:rsid wsp:val=&quot;56501CA7&quot;/&gt;&lt;wsp:rsid wsp:val=&quot;5665551B&quot;/&gt;&lt;wsp:rsid wsp:val=&quot;576D6C39&quot;/&gt;&lt;wsp:rsid wsp:val=&quot;588C018E&quot;/&gt;&lt;wsp:rsid wsp:val=&quot;5C1F7FE7&quot;/&gt;&lt;wsp:rsid wsp:val=&quot;5E3B3CB8&quot;/&gt;&lt;wsp:rsid wsp:val=&quot;5F853FB1&quot;/&gt;&lt;wsp:rsid wsp:val=&quot;606E0C9E&quot;/&gt;&lt;wsp:rsid wsp:val=&quot;61643B81&quot;/&gt;&lt;wsp:rsid wsp:val=&quot;66E70B21&quot;/&gt;&lt;wsp:rsid wsp:val=&quot;6A326B16&quot;/&gt;&lt;wsp:rsid wsp:val=&quot;6AC13071&quot;/&gt;&lt;wsp:rsid wsp:val=&quot;6AD47284&quot;/&gt;&lt;wsp:rsid wsp:val=&quot;6BFB1A7A&quot;/&gt;&lt;wsp:rsid wsp:val=&quot;6D4E5448&quot;/&gt;&lt;wsp:rsid wsp:val=&quot;70117CE3&quot;/&gt;&lt;wsp:rsid wsp:val=&quot;74AB1322&quot;/&gt;&lt;wsp:rsid wsp:val=&quot;768D1774&quot;/&gt;&lt;wsp:rsid wsp:val=&quot;780D70BC&quot;/&gt;&lt;wsp:rsid wsp:val=&quot;7ADD18DC&quot;/&gt;&lt;wsp:rsid wsp:val=&quot;7D840A0C&quot;/&gt;&lt;wsp:rsid wsp:val=&quot;7E264278&quot;/&gt;&lt;/wsp:rsids&gt;&lt;/w:docPr&gt;&lt;w:body&gt;&lt;wx:sect&gt;&lt;w:p wsp:rsidR=&quot;00000000&quot; wsp:rsidRDefault=&quot;00B67E04&quot; wsp:rsidP=&quot;00B67E04&quot;&gt;&lt;m:oMathPara&gt;&lt;m:oMath&gt;&lt;m:sSub&gt;&lt;m:sSubPr&gt;&lt;m:ctrlPr&gt;&lt;aml:annotation aml:id=&quot;0&quot; w:type=&quot;Word.Insertion&quot; aml:author=&quot;_?楠? aml:createdate=&quot;2020-09-21T21:16:00Z&quot;&gt;&lt;aml:content&gt;&lt;w:rPr&gt;&lt;w:rFonts w:ascii=&quot;Cambria Math&quot; w:fadreast=&quot;绛_嚎&quot; w:h-ansi=&quot;sp:Cambria Math&quot; w:cs=&quot;TimeMats New Roman&quot;oMa/&gt;&lt;wx:font wb&gt;&lt;b&gt;&lt;b&gt;&lt;b&gt;&lt;b&gt;&lt;x:val=Sub&quot;Cambr&lt;m:ia MtrltrlPrlPr&gt;&lt;r&gt;&lt;lPr&gt;&lt;lPr&gt;&lt;lPr&gt;&lt;lPr&gt;&lt;lPr&gt;&lt;lPr&gt;&lt;lPr&gt;&lt;lPr&gt;&lt;lPr&gt;&lt;lPr&gt;&lt;lPr&gt;&lt;lPr&gt;&lt;lPr&gt;&lt;lPr&gt;&lt;lPr&gt;&lt;lPr&gt;&lt;lPr&gt;&lt;lPr&gt;&lt;lPr&gt;&lt;lPr&gt;&lt;lPr&gt;&lt;lPr&gt;&lt;lPr&gt;&lt;lPr&gt;&lt;lad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lPr&gt;&lt;ath&quot;/&gt;&lt;w:i/&gt;&lt;w:sz w:val=&quot;30&quot;/&gt;&lt;w:sz-cs w:val=&quot;30&quot;/&gt;&lt;/w:rPr&gt;&lt;/aml:content&gt;&lt;/aml:annotation&gt;&lt;/m:ctrlPr&gt;&lt;/m:sSubPr&gt;&lt;m:e&gt;&lt;m:r&gt;&lt;aml:annotation aml:id=&quot;1&quot; w:type=&quot;Word.Insertion&quot; aml:author=&quot;_?楠&gt;&lt;&gt;&lt;? a&gt;&lt;ml&gt;&lt;:&gt;&lt;&lt;crea&gt;&gt;&lt;&lt;teda&gt;&lt;t&lt;&gt;&lt;e=&gt;&lt;&quot;20&gt;&lt;&gt;&lt;20&lt;-09r&gt;&lt;&gt;l&lt;-2&gt;1&gt;&lt;PT2&gt;&lt;1&gt;&lt;:1a6:&gt;&gt;&lt;&lt;00Zi&quot;&gt;&lt;&gt;&gt;&lt;&lt;za&gt;&lt;mla:&gt;&lt;&gt;&lt;0co/&gt;nte&quot;/sz&gt;&lt;nt&gt; w:i&lt;w&gt;l=&lt;:w:r&quot;/Pr&gt;&gt;ww::&lt;&lt;w:&gt;&lt;P=&quot;r&gt;l:&lt;rF/&gt;teonts &lt;/szw:a:asc witai=&quot;Cln&gt;=ambr:ci&quot;/a PrMatw:m:h&quot; :w:bP&gt;&lt;h-am:nsl:im:=&quot;Catamemabrinna&lt;/ Mtiath:aam&quot;/&gt;&lt;wd=tax:f wonn&gt;tpe wx::orcval=ns&quot;PrCaiombrm:amia MautbPth&quot;=&quot;/&gt;m:&lt;w:i/m:&gt;&lt;w:samz w:vnnal=&quot;3ti0&quot;/&gt;&lt;amw:sz-d=cs w: wval=&quot;pe30&quot;/&gt;or&lt;/w:rnsPr&gt;&lt;mio:t&gt;T&lt;am/m:t&gt;ut&lt;/aml=&quot;:content&gt;&lt;/aml:annotation&gt;&lt;/m:r&gt;&lt;/m:e&gt;&lt;m:sub&gt;&lt;m:r&gt;&lt;aml:annotation aml:id=&quot;2&quot; w:type=&quot;Word.Insertion&quot; aml:author=&quot;_a??r? amn&gt;nsl:creatio:cedateam=&quot;Pr202ut0-09m:-=&quot;21T21:bw:P16:00Z&lt;w&quot;m:&gt;&lt;am wla:cm:onld=tent&gt;a m&quot;/&lt;w:rpPr&gt;:snno&lt;w:rFs nontits ialw:asaamc0&quot;ii=u&quot;Cad/w==mbria re&gt;M wathm&quot;t&gt; w:pteh-m:an&lt;si=or/a/&quot;Cambri:consa M:at&gt;&lt;h&quot;i:o w:anhtintam=ilo&quot;farea&quot;u:rtst&quot;e/&gt;&lt;e&gt;w=.&quot;x:fob&gt;int enwxl&lt;a:val=rmlno&quot;Carmbrin taa Matd=h&quot;&lt;//&gt;&lt;:tw:i//m&gt;Wo&lt;w:sz :sesw:val=&quot; &quot;:r30&quot;/ut&gt;&lt;w:a:sza-cs tiw:val=&quot;l:30&quot;/&gt;&lt;/&quot; w:rPr&gt;&lt;e=m:t&gt;k&lt;/.Im:t&gt;&lt;rtio/aml:content&gt;&lt;/aml:annotation&gt;&lt;/m:r&gt;&lt;/m:sub&gt;&lt;/m:sSub&gt;&lt;m:r&gt;&lt;aml:annotation aml:id=&quot;3&quot; w:type=&quot;Word.Insertion&quot; aml:author=&quot;_a?楠==r? na=&quot;manoarrl:createeatan ndate=&quot;:&quot;&lt;20d=2m&gt;l0-:i0s9-2:t1sT2wva:ta1:16Wr3o:w:00Z&quot;&lt;w&lt;/&gt;&lt;s:re-caml:con/va&lt;wm&quot; ten0&quot;t&gt;&lt;csm:rw:ut:sPrl==m&gt;&lt;m:szat.Iy&gt;&lt;:r m:tiva:vr&gt;l:=co&quot;p:a&quot;/&gt;k&lt;/&lt;0&quot;&lt;/m:rnoPt&lt;rilr:r&gt;&lt;&gt;&lt;w:r:cP/mr&gt;l:t:&lt;w/m&lt;/:prFont&lt;m:tsot&quot;  lo:w:asca/mtimii=e_=&quot;C:iasumntbrw:ia .SuIMWoaanth&quot; &lt;erawrtion&gt;am:hta-ansori=&quot;/ml:Cambria Mw:m:ath&quot; w:orhi:rnt=&quot;ftiareannst&quot;:a/&gt;&lt;wx: afoant wx:v3&quot;al=&quot;瀹_?pe=&quot;n=m :r?/&gt;&lt;w:i.I-.In&lt;wd=se:tics/&gt;&lt;w:csscoz:tn&quot; am w&lt;/l=:lvalWo=&quot;no3th&gt;&lt;or=0&quot;&gt;&lt;/se&gt;&lt;wr&gt;p:s/mz-ca=&quot;&quot; sk/m&lt;o w:val=&quot;3&lt;m0u&lt;rte_en&quot;/li:&gt;&lt;/wn::crz:atiPrS&gt;2ml&lt;m&lt;/:i:&quot;t&gt;:v锛_?brwon:?tsot21T-a2uIMWot=&quot;&quot;/&gt;0&quot;asamca&quot;ria  &lt;er/m&lt;/m:th&quot; t&gt;&lt;/on&gt;ama:rntmt&quot;Casuirareannsor:rl00Z/&gt;&lt;w&quot;&lt;/al:Cam ant .Su::conr&gt;Mal=&quot;w:m:l:tteh&quot; =m&lt;an:orlhit&gt;&lt;/.I:conon&gt;ftiarti:htat:t/pmam&quot;co:a/&gt;l:an&quot;/mlo&lt;/:nofoanttascnoam_at&lt;a &quot;ial=&quot;&gt;&lt;nMw:m:r::sionCS/ma :rm w:or&quot;nt/m&gt;&lt;/m:n&lt;wr&gt;&lt;:&lt;m=&quot;ftistIM:csl:aany:rmst&quot;:ati:wl=sSub&gt;&lt;ti:ion afh&gt;&lt;oa&gt;m::sl=&quot;p:aSwr&gt;v3&quot;alui=&quot;/mbPsk&lt;r&gt;&lt;m:&quot;n ctm:au&lt;r Mm:rPtind=rl::cPr&gt;&lt;a:hi:rmz:m&lt;/tl:arPr&gt;l:nrealWonnnotation ao/sewx: ants&quot; ml:&quot;&quot; id=x:v3&quot;&quot;4&quot; w0utcii=e=:pe=&quot;tyrzape=&quot;Wordria n&gt;:vse.I.Insertion&quot;  amwrtio aml:author=or=&quot;??楠?cs ora&quot;:tmtil-lca=&quot;:crl=eat:i tieda:tte=&quot;23&gt;=::&lt;0een0:a20-0u9am&quot;a-2r&gt;1T21:m1roaa&gt;2&gt;&lt;ml6:0kM&lt;nt0Z&quot;&gt;&lt;a Mmalcl:cozn&lt;rtetaacPmnnt&gt;&lt;wn :rP:crr&gt;&lt;/&lt;wn:rFon&gt;n&lt;/od=t&lt;al/s :w:asctii=&quot;C/mao/:lWtt:mbr/m:ia Mathr:&quot;i&quot; w/WsmWo::f arepasw0:st=&quot;e&quot;&quot;绛?&gt;:/se_i&quot;rttyr:r嚎rtiouth&quot; w&quot; w0u:&quot;??h-aiao am a&quot;n&gt;nsl:&quot;l-l&quot; ty:or=&quot;?rs&quot;ty:i rrtionzreanmtin3&gt;=i=&quot;Camoa w0uaml:a-0ut:ita n&gt;:bria M1:matozh&quot;&gt;::wx?cs: a0kM=tion&quot;tyrm&quot;aza&quot;awnlcp:arl= w:cs=&quot;m2cPm :&gt;&lt;l:auTimex 3&gt;&lt;crrn&gt;Wt:va M:v3m:&quot;s Ne&lt;/ohr orw :2r/W&gt;acPrPtsf ctiRion&quot; oman:&quot;ett&gt;Wt:&lt;/i0k&lt;pe=t&quot;&quot;/&gt;&lt;w:&quot;ix:l:&lt;alautfon&lt;rrep0:ant Pr&gt;lao/:a &gt;:nsewxP:c:a:roath:&quot;val=&quot;Cambrit&lt;/a M&quot;sw0  malaa:tmnts&quot;:lW atrh&quot;/&gt;&lt;wwn :i/&gt;9aw/smthor=&lt;w:szi/d=i=e&quot;&quot;&quot;= w:0ntval=&quot;3a=a:t&quot;0&quot;/&gt;&lt;w:siaana .IzmWo-cs ween:val=on&gt;&quot;30se&quot;&quot; wrtio/&gt;&lt;2ml/C/mw:rPr&gt;&lt;/aml:contenwm:etat&gt;&lt;/aml:annotatiorn&gt;n&lt;/&lt;/m:ctrlPr&gt;&lt;/m:sSubr/mPr&gt;&lt;m:e&gt;&lt;m:r&gt;&lt;aml:as:snnotation aml:id=&quot;5&quot; w:type=&quot;Word.Insertion&quot; aml:author=&quot;_t&gt;?a? ? samhtil:create=ddataamd=m&quot;ew=&quot;202&quot;0-&quot;09-l:21T21:1:&quot;&lt;atnt6:ar=00Z&quot;&gt;&lt;aml::con&quot;es W=oteannt&gt;&lt;tw=&quot;:rPr&gt;&lt;tw2 :rFse&gt;ontsn&gt; e=w:ascoaena&gt;ii=&quot;C:rambria/m nrMamth&quot;&lt;.I w:mltah-/anrsi=&quot;:m:Cra&lt;mbria&lt; Mrt&gt;n:ioaota&gt;th&quot;/&gt;amor&lt;wx:fopnat ubwxn::val=&quot;:&lt;&quot;/Ca:smpbriia Ml::ath&quot;/&gt;&quot;&lt;w:i/m&gt;&lt;/&lt;amw:&quot;szd= w:vial=&quot;30&quot;/&gt;&lt;w:l:sz:ses- cs w:val=&quot;30&quot;/&gt;&lt;.I/wt:rP wr&gt;&lt;m:t&gt;T&lt;/m:t&gt;&lt;=&quot;/aml:con&quot;ntent&gt;&lt;/aml:annotation&gt;&lt;/m:r&gt;&lt;/m:e&gt;&lt;m:sub&gt;&lt;m:r&gt;&lt;aml:annotation aml:id=&quot;6&quot; w:type=&quot;Word.Insertion&quot; aml:author=&quot;??楠p?m amal.I:c:reatne&quot;d&quot;artbe=&quot;t:ap2i020-09t-2r:tio1T21s&lt;::&gt;1m&quot;6::00Z&lt;/&quot;&gt;&lt;&quot;aml:/co=nt&gt;en&quot;t=ia&gt;&lt;w:rPr&gt;ll&lt;wcv/m:rFoInwts w :ea&gt;:sc ii:&quot;=&quot;:Cambriwa:s: Ma/trh&quot;t&quot; wI&lt;:h:-ansi:=l&quot;Cambriar: mw M/tath&lt;&quot;&quot;&gt; aw:hint=:&quot;fnareatast:&quot;/nln&quot;u&gt;&lt;wxnn::fonit wx:avaual=&quot;Cnao:mwb.ri&gt;&lt;a sMath&quot;/&gt;&quot;&lt; woh:i&quot;/&gt;&lt;ow:sz w:v&gt;&lt; alt=&quot;h3d0&quot;/&gt;&lt;w:osz-cs w:val=.&quot;6=&quot;30&quot;/&gt;&lt;/ow:rPr&gt;&lt;m:t&gt;l&lt;&quot;?/m:ont&gt;&lt;/aml:content&gt;&lt;/aml:annotation&gt;&lt;/m:r&gt;&lt;/m:sub&gt;&lt;/m:sSub&gt;&lt;m:r&gt;&lt;aml:annotation aml:id=&quot;7&quot; w:type=&quot;Word.Insertion&quot; aml:author=&quot;??楠?: :utanmil:acreatnedate=o&quot;2020a.nwnn&quot;u-09-21T&quot;2o1::16:h00Z&quot;&gt;&quot;o&quot;&lt;amlv: scon&gt;&lt;ltent&gt;oo&lt;m:drshPtr&gt;&lt;m:s tdy m :&lt;val/=&quot;&gt;6&lt;o.p&quot;l/:&gt;&lt;/m:rPtr/=&gt;&lt;w:rP.&lt;tr&gt;&lt;&gt;&lt;w:r:oFa&gt;on&quot;6ts w:?&lt;asc&gt;ini=&quot;nmuCa?mtbri/a Math&quot; &lt;ob&gt;&gt;anw:h:-ansi/=m&quot;Calmabnrnia&lt; Meat:hr&quot; w:nomht&quot;int=:&quot;far&quot;seh&gt;ast&quot;d/a:&gt;&lt;wx:fi ont/m:is wx:nvarl=t&quot;t瀹n_?oser?/ ua.&gt;T&quot;&lt;w:i-cs/?:&gt;Wnword&lt;w :lvhoaml:san? tz w&quot;Wor:&gt;&quot;rs0&lt;&lt;laval=&quot;30&quot;/&gt;&lt;&gt;ow:r=l/atnts &quot;u:dn&quot;?s&gt;&quot;tz-cs wr/:varahl/:or=&quot;?=&gt;6&lt;&quot;30&quot;/F&gt;l: Ptu&gt;1::&gt;&lt;&lt;/wo.20n:rnm&lt;.&lt;Pr&gt;&lt;m:t&gt;锛&gt;in?/p=m&quot;lmb&gt;&gt;:st&gt;&lt;&gt;d:scMe&gt;t&gt;2nt&gt; oboabnht0n&quot;&lt;/ad/mml:s:r:ehl=&quot; o&gt;nmh&quot;:&gt;&lt;wbrncontrPr=enot&gt;&lt;/am&quot;/vara:&gt;&lt;ol:it=:a&lt;?:h:mtanno&quot;x:ontationy w:?fi  m ar&quot;v&gt;&lt;o&lt;.n:hr&gt;&lt;si//m:w:r瀹norsr&gt;&lt;nt/:hmm:i:oMa&quot; &quot;tot&quot;dathl/&gt;&lt;nwraom&lt;l/m:o:rP.u6&lt;Mathbrr/i/vartu=&quot;&gt;s &lt;&quot;PMat::fiaraFm&lt;&gt;n&gt;&lt;/w:p&gt;&lt;w:/:s:ecdtm&quot;Caanmlma?tero&quot;/aPer &gt;&lt;w/sp:rsa6&gt;iont&quot;6dR=&quot;0000h00fnth=t&quot;tanrs0o&lt;0&quot;&quot;&quot;wCal&gt;&lt;w:pgS.zb w:&quot;w=&quot;u1&quot; rolwtx:non2240&quot; w:n:are&gt;h=&quot;&quot;158 40&quot;&lt;/&gt;n&lt;w:pdgMnar: wv:now:tal=top=&quot;144:0.&quot; w:r ?ight=&quot;1800&quot;t/m:s rw:bottom=&quot;1n440&quot; w:left=&quot;1800&quot; ?w:header=&quot;720&quot; w:footer=&quot;720&quot; w:gutter=&quot;0&quot;/&gt;&lt;w:cols w:space=&quot;720&quot;/&gt;&lt;/w:sectPr&gt;&lt;/wx:sect&gt;&lt;/w:body&gt;&lt;/w:wordDocument&gt;">
            <v:imagedata r:id="rId112" o:title="" chromakey="white"/>
          </v:shape>
        </w:pict>
      </w:r>
      <w:bookmarkEnd w:id="5"/>
      <w:r>
        <w:rPr>
          <w:rFonts w:ascii="仿宋_GB2312" w:eastAsia="仿宋_GB2312"/>
          <w:sz w:val="30"/>
          <w:szCs w:val="30"/>
        </w:rPr>
        <w:instrText xml:space="preserve"> </w:instrText>
      </w:r>
      <w:r>
        <w:rPr>
          <w:rFonts w:ascii="仿宋_GB2312" w:eastAsia="仿宋_GB2312"/>
          <w:sz w:val="30"/>
          <w:szCs w:val="30"/>
        </w:rPr>
        <w:fldChar w:fldCharType="end"/>
      </w:r>
      <w:r>
        <w:rPr>
          <w:rFonts w:ascii="仿宋_GB2312" w:eastAsia="仿宋_GB2312" w:hint="eastAsia"/>
          <w:sz w:val="30"/>
          <w:szCs w:val="30"/>
        </w:rPr>
        <w:t>是维伽敏感度对应的期权剩余期限，以年为单位。</w:t>
      </w:r>
    </w:p>
    <w:bookmarkEnd w:id="6"/>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lastRenderedPageBreak/>
        <w:t>e.</w:t>
      </w:r>
      <w:proofErr w:type="gramEnd"/>
      <w:r>
        <w:rPr>
          <w:position w:val="-12"/>
          <w:sz w:val="30"/>
          <w:szCs w:val="30"/>
        </w:rPr>
        <w:object w:dxaOrig="333" w:dyaOrig="400">
          <v:shape id="_x0000_i1084" type="#_x0000_t75" style="width:16.75pt;height:19.95pt" o:ole="">
            <v:imagedata r:id="rId113" o:title=""/>
          </v:shape>
          <o:OLEObject Type="Embed" ProgID="Equation.DSMT4" ShapeID="_x0000_i1084" DrawAspect="Content" ObjectID="_1765373652" r:id="rId114"/>
        </w:object>
      </w:r>
      <w:r>
        <w:rPr>
          <w:rFonts w:ascii="仿宋_GB2312" w:eastAsia="仿宋_GB2312" w:hint="eastAsia"/>
          <w:sz w:val="30"/>
          <w:szCs w:val="30"/>
        </w:rPr>
        <w:t>（或</w:t>
      </w:r>
      <w:r>
        <w:rPr>
          <w:position w:val="-12"/>
          <w:sz w:val="30"/>
          <w:szCs w:val="30"/>
        </w:rPr>
        <w:object w:dxaOrig="333" w:dyaOrig="400">
          <v:shape id="_x0000_i1085" type="#_x0000_t75" style="width:16.75pt;height:19.95pt" o:ole="">
            <v:imagedata r:id="rId115" o:title=""/>
          </v:shape>
          <o:OLEObject Type="Embed" ProgID="Equation.DSMT4" ShapeID="_x0000_i1085" DrawAspect="Content" ObjectID="_1765373653" r:id="rId116"/>
        </w:object>
      </w:r>
      <w:r>
        <w:rPr>
          <w:rFonts w:ascii="仿宋_GB2312" w:eastAsia="仿宋_GB2312" w:hint="eastAsia"/>
          <w:sz w:val="30"/>
          <w:szCs w:val="30"/>
        </w:rPr>
        <w:t>）是维伽敏感度对应的期权到期后基础资产的剩余期限，以年为单位。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）曲度敏感度的风险权重为给定风险因子的冲击幅度，</w:t>
      </w:r>
      <w:r>
        <w:rPr>
          <w:rFonts w:ascii="仿宋_GB2312" w:eastAsia="仿宋_GB2312" w:cs="仿宋_GB2312"/>
          <w:color w:val="000000"/>
          <w:kern w:val="0"/>
          <w:sz w:val="30"/>
          <w:szCs w:val="30"/>
          <w:shd w:val="clear" w:color="auto" w:fill="FFFFFF"/>
          <w:lang w:bidi="ar"/>
        </w:rPr>
        <w:t>等于</w:t>
      </w:r>
      <w:r>
        <w:rPr>
          <w:rFonts w:ascii="仿宋_GB2312" w:eastAsia="仿宋_GB2312" w:cs="仿宋_GB2312" w:hint="eastAsia"/>
          <w:color w:val="000000"/>
          <w:kern w:val="0"/>
          <w:sz w:val="30"/>
          <w:szCs w:val="30"/>
          <w:shd w:val="clear" w:color="auto" w:fill="FFFFFF"/>
          <w:lang w:bidi="ar"/>
        </w:rPr>
        <w:t>每个风险组下最高的得尔塔风险权重。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）计算曲度敏感度风险头寸时，</w:t>
      </w:r>
      <w:bookmarkStart w:id="7" w:name="_Hlk51773248"/>
      <w:r>
        <w:rPr>
          <w:rFonts w:ascii="仿宋_GB2312" w:eastAsia="仿宋_GB2312" w:cs="仿宋_GB2312" w:hint="eastAsia"/>
          <w:color w:val="000000"/>
          <w:kern w:val="0"/>
          <w:sz w:val="30"/>
          <w:szCs w:val="30"/>
          <w:shd w:val="clear" w:color="auto" w:fill="FFFFFF"/>
          <w:lang w:bidi="ar"/>
        </w:rPr>
        <w:t>同一个风险组内的相关系数</w:t>
      </w:r>
      <w:r>
        <w:rPr>
          <w:position w:val="-14"/>
          <w:sz w:val="30"/>
          <w:szCs w:val="30"/>
        </w:rPr>
        <w:object w:dxaOrig="400" w:dyaOrig="400">
          <v:shape id="_x0000_i1086" type="#_x0000_t75" style="width:19.95pt;height:19.95pt" o:ole="">
            <v:imagedata r:id="rId59" o:title=""/>
          </v:shape>
          <o:OLEObject Type="Embed" ProgID="Equation.DSMT4" ShapeID="_x0000_i1086" DrawAspect="Content" ObjectID="_1765373654" r:id="rId117"/>
        </w:object>
      </w:r>
      <w:r>
        <w:rPr>
          <w:rFonts w:ascii="仿宋_GB2312" w:eastAsia="仿宋_GB2312" w:hint="eastAsia"/>
          <w:sz w:val="30"/>
          <w:szCs w:val="30"/>
        </w:rPr>
        <w:t>是对应的得尔塔相关系数</w:t>
      </w:r>
      <w:r>
        <w:rPr>
          <w:position w:val="-14"/>
          <w:sz w:val="30"/>
          <w:szCs w:val="30"/>
        </w:rPr>
        <w:object w:dxaOrig="400" w:dyaOrig="400">
          <v:shape id="_x0000_i1087" type="#_x0000_t75" style="width:19.95pt;height:19.95pt" o:ole="">
            <v:imagedata r:id="rId59" o:title=""/>
          </v:shape>
          <o:OLEObject Type="Embed" ProgID="Equation.DSMT4" ShapeID="_x0000_i1087" DrawAspect="Content" ObjectID="_1765373655" r:id="rId118"/>
        </w:object>
      </w:r>
      <w:r>
        <w:rPr>
          <w:rFonts w:ascii="仿宋_GB2312" w:eastAsia="仿宋_GB2312" w:hint="eastAsia"/>
          <w:sz w:val="30"/>
          <w:szCs w:val="30"/>
        </w:rPr>
        <w:t>的平方。</w:t>
      </w:r>
      <w:bookmarkEnd w:id="7"/>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9</w:t>
      </w:r>
      <w:r>
        <w:rPr>
          <w:rFonts w:ascii="仿宋_GB2312" w:eastAsia="仿宋_GB2312" w:cs="仿宋_GB2312" w:hint="eastAsia"/>
          <w:color w:val="000000"/>
          <w:kern w:val="0"/>
          <w:sz w:val="30"/>
          <w:szCs w:val="30"/>
          <w:shd w:val="clear" w:color="auto" w:fill="FFFFFF"/>
          <w:lang w:bidi="ar"/>
        </w:rPr>
        <w:t>）计算曲度敏感度资本要求时，不同风险组间的相关系数</w:t>
      </w:r>
      <w:r>
        <w:rPr>
          <w:position w:val="-12"/>
          <w:sz w:val="30"/>
          <w:szCs w:val="30"/>
        </w:rPr>
        <w:object w:dxaOrig="333" w:dyaOrig="333">
          <v:shape id="_x0000_i1088" type="#_x0000_t75" style="width:16.75pt;height:16.75pt" o:ole="">
            <v:imagedata r:id="rId18" o:title=""/>
          </v:shape>
          <o:OLEObject Type="Embed" ProgID="Equation.DSMT4" ShapeID="_x0000_i1088" DrawAspect="Content" ObjectID="_1765373656" r:id="rId119"/>
        </w:object>
      </w:r>
      <w:r>
        <w:rPr>
          <w:rFonts w:ascii="仿宋_GB2312" w:eastAsia="仿宋_GB2312" w:cs="仿宋_GB2312" w:hint="eastAsia"/>
          <w:color w:val="000000"/>
          <w:kern w:val="0"/>
          <w:sz w:val="30"/>
          <w:szCs w:val="30"/>
          <w:shd w:val="clear" w:color="auto" w:fill="FFFFFF"/>
          <w:lang w:bidi="ar"/>
        </w:rPr>
        <w:t>是对应的</w:t>
      </w:r>
      <w:r>
        <w:rPr>
          <w:rFonts w:ascii="仿宋_GB2312" w:eastAsia="仿宋_GB2312" w:hint="eastAsia"/>
          <w:sz w:val="30"/>
          <w:szCs w:val="30"/>
        </w:rPr>
        <w:t>得尔塔相关系数</w:t>
      </w:r>
      <w:r>
        <w:rPr>
          <w:position w:val="-12"/>
          <w:sz w:val="30"/>
          <w:szCs w:val="30"/>
        </w:rPr>
        <w:object w:dxaOrig="453" w:dyaOrig="453">
          <v:shape id="_x0000_i1089" type="#_x0000_t75" style="width:22.8pt;height:22.8pt" o:ole="">
            <v:imagedata r:id="rId18" o:title=""/>
          </v:shape>
          <o:OLEObject Type="Embed" ProgID="Equation.DSMT4" ShapeID="_x0000_i1089" DrawAspect="Content" ObjectID="_1765373657" r:id="rId120"/>
        </w:object>
      </w:r>
      <w:r>
        <w:rPr>
          <w:rFonts w:ascii="仿宋_GB2312" w:eastAsia="仿宋_GB2312" w:hint="eastAsia"/>
          <w:sz w:val="30"/>
          <w:szCs w:val="30"/>
        </w:rPr>
        <w:t>的平方</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（五）非证券化信用利差风险</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风险因子</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）得尔塔风险因子由发行主体信用利差曲线（债券和</w:t>
      </w:r>
      <w:r>
        <w:rPr>
          <w:rFonts w:ascii="仿宋_GB2312" w:eastAsia="仿宋_GB2312" w:hint="eastAsia"/>
          <w:sz w:val="30"/>
          <w:szCs w:val="30"/>
        </w:rPr>
        <w:t>CDS</w:t>
      </w:r>
      <w:r>
        <w:rPr>
          <w:rFonts w:ascii="仿宋_GB2312" w:eastAsia="仿宋_GB2312" w:hint="eastAsia"/>
          <w:sz w:val="30"/>
          <w:szCs w:val="30"/>
        </w:rPr>
        <w:t>）和期限确定。期限为</w:t>
      </w:r>
      <w:r>
        <w:rPr>
          <w:rFonts w:ascii="仿宋_GB2312" w:eastAsia="仿宋_GB2312" w:hint="eastAsia"/>
          <w:sz w:val="30"/>
          <w:szCs w:val="30"/>
        </w:rPr>
        <w:t>0.5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因子是基于期权剩余期限的期权隐含波动率。期权的基础资产是发行主体的债券或</w:t>
      </w:r>
      <w:r>
        <w:rPr>
          <w:rFonts w:ascii="仿宋_GB2312" w:eastAsia="仿宋_GB2312" w:hint="eastAsia"/>
          <w:sz w:val="30"/>
          <w:szCs w:val="30"/>
        </w:rPr>
        <w:t>CDS</w:t>
      </w:r>
      <w:r>
        <w:rPr>
          <w:rFonts w:ascii="仿宋_GB2312" w:eastAsia="仿宋_GB2312" w:hint="eastAsia"/>
          <w:sz w:val="30"/>
          <w:szCs w:val="30"/>
        </w:rPr>
        <w:t>。期限为</w:t>
      </w:r>
      <w:r>
        <w:rPr>
          <w:rFonts w:ascii="仿宋_GB2312" w:eastAsia="仿宋_GB2312"/>
          <w:sz w:val="30"/>
          <w:szCs w:val="30"/>
        </w:rPr>
        <w:t>0.</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）曲度风险因子是发行主体信用利差曲线。</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敏感度</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）得尔塔敏感度计算方法：在给定的信用利差曲线上，给定期限上利率变化</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个基点引起金融工具市场价值的变化量，再除以</w:t>
      </w:r>
      <w:r>
        <w:rPr>
          <w:rFonts w:ascii="仿宋_GB2312" w:eastAsia="仿宋_GB2312" w:cs="仿宋_GB2312" w:hint="eastAsia"/>
          <w:color w:val="000000"/>
          <w:kern w:val="0"/>
          <w:sz w:val="30"/>
          <w:szCs w:val="30"/>
          <w:shd w:val="clear" w:color="auto" w:fill="FFFFFF"/>
          <w:lang w:bidi="ar"/>
        </w:rPr>
        <w:t>0.0001</w:t>
      </w:r>
      <w:r>
        <w:rPr>
          <w:rFonts w:ascii="仿宋_GB2312" w:eastAsia="仿宋_GB2312" w:cs="仿宋_GB2312" w:hint="eastAsia"/>
          <w:color w:val="000000"/>
          <w:kern w:val="0"/>
          <w:sz w:val="30"/>
          <w:szCs w:val="30"/>
          <w:shd w:val="clear" w:color="auto" w:fill="FFFFFF"/>
          <w:lang w:bidi="ar"/>
        </w:rPr>
        <w:t>。公式如下：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w:dxaOrig="4533" w:dyaOrig="760">
          <v:shape id="_x0000_i1090" type="#_x0000_t75" style="width:226.7pt;height:38.15pt" o:ole="">
            <v:imagedata r:id="rId121" o:title=""/>
          </v:shape>
          <o:OLEObject Type="Embed" ProgID="Equation.DSMT4" ShapeID="_x0000_i1090" DrawAspect="Content" ObjectID="_1765373658" r:id="rId122"/>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维伽敏感度</w:t>
      </w:r>
      <w:proofErr w:type="gramEnd"/>
      <w:r>
        <w:rPr>
          <w:rFonts w:ascii="仿宋_GB2312" w:eastAsia="仿宋_GB2312" w:cs="仿宋_GB2312" w:hint="eastAsia"/>
          <w:color w:val="000000"/>
          <w:kern w:val="0"/>
          <w:sz w:val="30"/>
          <w:szCs w:val="30"/>
          <w:shd w:val="clear" w:color="auto" w:fill="FFFFFF"/>
          <w:lang w:bidi="ar"/>
        </w:rPr>
        <w:t>的计算详见</w:t>
      </w:r>
      <w:r>
        <w:rPr>
          <w:rFonts w:ascii="仿宋_GB2312" w:eastAsia="仿宋_GB2312" w:hint="eastAsia"/>
          <w:sz w:val="30"/>
          <w:szCs w:val="30"/>
        </w:rPr>
        <w:t>本附件第二部分（四）</w:t>
      </w:r>
      <w:r>
        <w:rPr>
          <w:rFonts w:ascii="仿宋_GB2312" w:eastAsia="仿宋_GB2312"/>
          <w:sz w:val="30"/>
          <w:szCs w:val="30"/>
        </w:rPr>
        <w:t>2</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）曲度敏感度的计算详见本附件第二部分（二）。</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3</w:t>
      </w:r>
      <w:r>
        <w:rPr>
          <w:rFonts w:ascii="仿宋_GB2312" w:eastAsia="仿宋_GB2312" w:hAnsi="黑体" w:hint="eastAsia"/>
          <w:bCs/>
          <w:sz w:val="30"/>
          <w:szCs w:val="30"/>
        </w:rPr>
        <w:t>.</w:t>
      </w:r>
      <w:r>
        <w:rPr>
          <w:rFonts w:ascii="仿宋_GB2312" w:eastAsia="仿宋_GB2312" w:hAnsi="黑体"/>
          <w:bCs/>
          <w:sz w:val="30"/>
          <w:szCs w:val="30"/>
        </w:rPr>
        <w:t>风险组、风险权重、相关系数</w:t>
      </w:r>
    </w:p>
    <w:p w:rsidR="004165E8" w:rsidRDefault="00A108D9">
      <w:pPr>
        <w:tabs>
          <w:tab w:val="left" w:pos="4830"/>
        </w:tabs>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）非</w:t>
      </w:r>
      <w:r>
        <w:rPr>
          <w:rFonts w:ascii="仿宋_GB2312" w:eastAsia="仿宋_GB2312" w:hint="eastAsia"/>
          <w:sz w:val="30"/>
          <w:szCs w:val="30"/>
        </w:rPr>
        <w:t>证券化</w:t>
      </w:r>
      <w:r>
        <w:rPr>
          <w:rFonts w:ascii="仿宋_GB2312" w:eastAsia="仿宋_GB2312" w:cs="仿宋_GB2312" w:hint="eastAsia"/>
          <w:color w:val="000000"/>
          <w:kern w:val="0"/>
          <w:sz w:val="30"/>
          <w:szCs w:val="30"/>
          <w:shd w:val="clear" w:color="auto" w:fill="FFFFFF"/>
          <w:lang w:bidi="ar"/>
        </w:rPr>
        <w:t>信用利差风险组以信用水平和行业分类维度</w:t>
      </w:r>
      <w:r>
        <w:rPr>
          <w:rFonts w:ascii="仿宋_GB2312" w:eastAsia="仿宋_GB2312" w:cs="仿宋_GB2312" w:hint="eastAsia"/>
          <w:color w:val="000000"/>
          <w:kern w:val="0"/>
          <w:sz w:val="30"/>
          <w:szCs w:val="30"/>
          <w:shd w:val="clear" w:color="auto" w:fill="FFFFFF"/>
          <w:lang w:bidi="ar"/>
        </w:rPr>
        <w:lastRenderedPageBreak/>
        <w:t>划分，如表</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所示。商业银行应将风险暴露划分到对应的风险组。</w:t>
      </w:r>
      <w:bookmarkStart w:id="8" w:name="_Hlk88820172"/>
      <w:r>
        <w:rPr>
          <w:rFonts w:ascii="仿宋_GB2312" w:eastAsia="仿宋_GB2312" w:cs="仿宋_GB2312" w:hint="eastAsia"/>
          <w:color w:val="000000"/>
          <w:kern w:val="0"/>
          <w:sz w:val="30"/>
          <w:szCs w:val="30"/>
          <w:shd w:val="clear" w:color="auto" w:fill="FFFFFF"/>
          <w:lang w:bidi="ar"/>
        </w:rPr>
        <w:t>其中，</w:t>
      </w:r>
      <w:bookmarkStart w:id="9" w:name="_Hlk82015614"/>
      <w:r>
        <w:rPr>
          <w:rFonts w:ascii="仿宋_GB2312" w:eastAsia="仿宋_GB2312" w:hint="eastAsia"/>
          <w:sz w:val="30"/>
          <w:szCs w:val="30"/>
        </w:rPr>
        <w:t>投资级别、高收益的认定应符合本办法附件</w:t>
      </w:r>
      <w:r>
        <w:rPr>
          <w:rFonts w:ascii="仿宋_GB2312" w:eastAsia="仿宋_GB2312" w:hint="eastAsia"/>
          <w:sz w:val="30"/>
          <w:szCs w:val="30"/>
        </w:rPr>
        <w:t>2</w:t>
      </w:r>
      <w:r>
        <w:rPr>
          <w:rFonts w:ascii="仿宋_GB2312" w:eastAsia="仿宋_GB2312"/>
          <w:sz w:val="30"/>
          <w:szCs w:val="30"/>
        </w:rPr>
        <w:t>5</w:t>
      </w:r>
      <w:r>
        <w:rPr>
          <w:rFonts w:ascii="仿宋_GB2312" w:eastAsia="仿宋_GB2312" w:hint="eastAsia"/>
          <w:sz w:val="30"/>
          <w:szCs w:val="30"/>
        </w:rPr>
        <w:t>的要求。</w:t>
      </w:r>
      <w:bookmarkEnd w:id="8"/>
      <w:bookmarkEnd w:id="9"/>
    </w:p>
    <w:p w:rsidR="004165E8" w:rsidRDefault="00A108D9">
      <w:pPr>
        <w:widowControl/>
        <w:tabs>
          <w:tab w:val="left" w:pos="4830"/>
        </w:tabs>
        <w:spacing w:line="480" w:lineRule="exact"/>
        <w:ind w:firstLineChars="200" w:firstLine="600"/>
        <w:rPr>
          <w:rFonts w:ascii="仿宋_GB2312" w:eastAsia="仿宋_GB2312"/>
          <w:sz w:val="30"/>
          <w:szCs w:val="30"/>
        </w:rPr>
      </w:pPr>
      <w:r>
        <w:rPr>
          <w:rFonts w:ascii="仿宋_GB2312" w:eastAsia="仿宋_GB2312" w:hint="eastAsia"/>
          <w:sz w:val="30"/>
          <w:szCs w:val="30"/>
        </w:rPr>
        <w:t>我国主权机构可认定为投资级别。我国地方政府、公共部门实体若无法获取主体评级，可使用债项评级作为信用水平判断依据。</w:t>
      </w:r>
    </w:p>
    <w:p w:rsidR="004165E8" w:rsidRDefault="00A108D9">
      <w:pPr>
        <w:widowControl/>
        <w:tabs>
          <w:tab w:val="left" w:pos="4830"/>
        </w:tabs>
        <w:spacing w:line="480" w:lineRule="exact"/>
        <w:ind w:firstLineChars="200" w:firstLine="600"/>
        <w:rPr>
          <w:rFonts w:ascii="仿宋_GB2312" w:eastAsia="仿宋_GB2312" w:cs="仿宋_GB2312"/>
          <w:color w:val="000000"/>
          <w:kern w:val="0"/>
          <w:sz w:val="28"/>
          <w:szCs w:val="28"/>
          <w:shd w:val="clear" w:color="auto" w:fill="FFFFFF"/>
          <w:lang w:bidi="ar"/>
        </w:rPr>
      </w:pPr>
      <w:r>
        <w:rPr>
          <w:rFonts w:ascii="仿宋_GB2312" w:eastAsia="仿宋_GB2312" w:hint="eastAsia"/>
          <w:sz w:val="30"/>
          <w:szCs w:val="30"/>
        </w:rPr>
        <w:t>对于经国家金融监督管理总局或其派出机构</w:t>
      </w:r>
      <w:r>
        <w:rPr>
          <w:rFonts w:ascii="仿宋_GB2312" w:eastAsia="仿宋_GB2312" w:cs="仿宋_GB2312" w:hint="eastAsia"/>
          <w:kern w:val="0"/>
          <w:sz w:val="30"/>
          <w:szCs w:val="30"/>
          <w:shd w:val="clear" w:color="auto" w:fill="FFFFFF"/>
          <w:lang w:bidi="ar"/>
        </w:rPr>
        <w:t>验收通过</w:t>
      </w:r>
      <w:r>
        <w:rPr>
          <w:rFonts w:ascii="仿宋_GB2312" w:eastAsia="仿宋_GB2312" w:hint="eastAsia"/>
          <w:sz w:val="30"/>
          <w:szCs w:val="30"/>
        </w:rPr>
        <w:t>实施信用风险内部评级法的商业银行，若无法取得发行主体的合格外部评级，可将内部评级映射到外部评级。商业银行应制定清晰的评级映射规则，至少每年检验一次映射规则的合理性，并留档备查。本附件中的合格资产担保债券应符合本办法附件</w:t>
      </w:r>
      <w:r>
        <w:rPr>
          <w:rFonts w:ascii="仿宋_GB2312" w:eastAsia="仿宋_GB2312" w:hint="eastAsia"/>
          <w:sz w:val="30"/>
          <w:szCs w:val="30"/>
        </w:rPr>
        <w:t>2</w:t>
      </w:r>
      <w:r>
        <w:rPr>
          <w:rFonts w:ascii="仿宋_GB2312" w:eastAsia="仿宋_GB2312" w:hint="eastAsia"/>
          <w:sz w:val="30"/>
          <w:szCs w:val="30"/>
        </w:rPr>
        <w:t>第十部分的相关要求。</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3</w:t>
      </w:r>
      <w:r>
        <w:rPr>
          <w:rFonts w:ascii="楷体_GB2312" w:eastAsia="楷体_GB2312"/>
          <w:b/>
          <w:sz w:val="28"/>
          <w:szCs w:val="28"/>
        </w:rPr>
        <w:t xml:space="preserve"> </w:t>
      </w:r>
      <w:r>
        <w:rPr>
          <w:rFonts w:ascii="楷体_GB2312" w:eastAsia="楷体_GB2312" w:hint="eastAsia"/>
          <w:b/>
          <w:sz w:val="28"/>
          <w:szCs w:val="28"/>
        </w:rPr>
        <w:t>非证券化信用利差风险组</w:t>
      </w: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172"/>
        <w:gridCol w:w="5302"/>
      </w:tblGrid>
      <w:tr w:rsidR="004165E8">
        <w:trPr>
          <w:trHeight w:val="270"/>
          <w:tblHeader/>
        </w:trPr>
        <w:tc>
          <w:tcPr>
            <w:tcW w:w="766" w:type="dxa"/>
            <w:tcBorders>
              <w:tl2br w:val="nil"/>
              <w:tr2bl w:val="nil"/>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172" w:type="dxa"/>
            <w:tcBorders>
              <w:tl2br w:val="nil"/>
              <w:tr2bl w:val="nil"/>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发行主体信用水平</w:t>
            </w:r>
          </w:p>
        </w:tc>
        <w:tc>
          <w:tcPr>
            <w:tcW w:w="5302" w:type="dxa"/>
            <w:tcBorders>
              <w:tl2br w:val="nil"/>
              <w:tr2bl w:val="nil"/>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行业分类</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2172" w:type="dxa"/>
            <w:vMerge w:val="restart"/>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投资级别（</w:t>
            </w:r>
            <w:r>
              <w:rPr>
                <w:rFonts w:ascii="宋体" w:hAnsi="宋体" w:cs="宋体" w:hint="eastAsia"/>
                <w:color w:val="000000"/>
                <w:kern w:val="0"/>
                <w:sz w:val="24"/>
              </w:rPr>
              <w:t>IG</w:t>
            </w:r>
            <w:r>
              <w:rPr>
                <w:rFonts w:ascii="宋体" w:hAnsi="宋体" w:cs="宋体" w:hint="eastAsia"/>
                <w:color w:val="000000"/>
                <w:kern w:val="0"/>
                <w:sz w:val="24"/>
              </w:rPr>
              <w:t>）</w:t>
            </w: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主权机构，包括中央银行、多边开发银行、我国开发性金融机构和政策性银行</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地方政府、公共部门实体、教育</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金融机构</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基础材料、能源、工业、农业、制造、</w:t>
            </w:r>
            <w:r>
              <w:rPr>
                <w:rFonts w:ascii="宋体" w:hAnsi="宋体" w:cs="宋体" w:hint="eastAsia"/>
                <w:sz w:val="24"/>
              </w:rPr>
              <w:t>矿产和开采领域</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消费品和服务、交通运输和仓储、公共管理和支持性服务</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kern w:val="0"/>
                <w:sz w:val="24"/>
              </w:rPr>
              <w:t>信息科技，通讯行业</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健康医疗、公用事业、专业技术领域</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合格资产担保债券</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2172" w:type="dxa"/>
            <w:vMerge w:val="restart"/>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高收益（</w:t>
            </w:r>
            <w:r>
              <w:rPr>
                <w:rFonts w:ascii="宋体" w:hAnsi="宋体" w:cs="宋体" w:hint="eastAsia"/>
                <w:color w:val="000000"/>
                <w:kern w:val="0"/>
                <w:sz w:val="24"/>
              </w:rPr>
              <w:t>HY</w:t>
            </w:r>
            <w:r>
              <w:rPr>
                <w:rFonts w:ascii="宋体" w:hAnsi="宋体" w:cs="宋体" w:hint="eastAsia"/>
                <w:color w:val="000000"/>
                <w:kern w:val="0"/>
                <w:sz w:val="24"/>
              </w:rPr>
              <w:t>）和无评级（</w:t>
            </w:r>
            <w:r>
              <w:rPr>
                <w:rFonts w:ascii="宋体" w:hAnsi="宋体" w:cs="宋体" w:hint="eastAsia"/>
                <w:color w:val="000000"/>
                <w:kern w:val="0"/>
                <w:sz w:val="24"/>
              </w:rPr>
              <w:t>NR</w:t>
            </w:r>
            <w:r>
              <w:rPr>
                <w:rFonts w:ascii="宋体" w:hAnsi="宋体" w:cs="宋体" w:hint="eastAsia"/>
                <w:color w:val="000000"/>
                <w:kern w:val="0"/>
                <w:sz w:val="24"/>
              </w:rPr>
              <w:t>）</w:t>
            </w: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主权机构，包括中央银行、多边开发银行</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地方政府、公共部门实体、教育</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金融机构</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基础材料、能源、工业、农业、制造、</w:t>
            </w:r>
            <w:r>
              <w:rPr>
                <w:rFonts w:ascii="宋体" w:hAnsi="宋体" w:cs="宋体" w:hint="eastAsia"/>
                <w:sz w:val="24"/>
              </w:rPr>
              <w:t>矿产和开采领域</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消费品和服务、交通运输和仓储、公共管理和支持性服务</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kern w:val="0"/>
                <w:sz w:val="24"/>
              </w:rPr>
              <w:t>信息科技，通讯行业</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2172" w:type="dxa"/>
            <w:vMerge/>
            <w:tcBorders>
              <w:tl2br w:val="nil"/>
              <w:tr2bl w:val="nil"/>
            </w:tcBorders>
            <w:vAlign w:val="center"/>
          </w:tcPr>
          <w:p w:rsidR="004165E8" w:rsidRDefault="004165E8">
            <w:pPr>
              <w:widowControl/>
              <w:jc w:val="center"/>
              <w:rPr>
                <w:rFonts w:ascii="宋体" w:hAnsi="宋体" w:cs="宋体"/>
                <w:color w:val="000000"/>
                <w:kern w:val="0"/>
                <w:sz w:val="24"/>
              </w:rPr>
            </w:pPr>
          </w:p>
        </w:tc>
        <w:tc>
          <w:tcPr>
            <w:tcW w:w="5302" w:type="dxa"/>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健康医疗、公用事业、专业技术领域</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7474" w:type="dxa"/>
            <w:gridSpan w:val="2"/>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其他行业</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lastRenderedPageBreak/>
              <w:t>17</w:t>
            </w:r>
          </w:p>
        </w:tc>
        <w:tc>
          <w:tcPr>
            <w:tcW w:w="7474" w:type="dxa"/>
            <w:gridSpan w:val="2"/>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IG</w:t>
            </w:r>
            <w:r>
              <w:rPr>
                <w:rFonts w:ascii="宋体" w:hAnsi="宋体" w:cs="宋体" w:hint="eastAsia"/>
                <w:color w:val="000000"/>
                <w:kern w:val="0"/>
                <w:sz w:val="24"/>
              </w:rPr>
              <w:t>指数组</w:t>
            </w:r>
          </w:p>
        </w:tc>
      </w:tr>
      <w:tr w:rsidR="004165E8">
        <w:trPr>
          <w:trHeight w:val="270"/>
        </w:trPr>
        <w:tc>
          <w:tcPr>
            <w:tcW w:w="766" w:type="dxa"/>
            <w:tcBorders>
              <w:tl2br w:val="nil"/>
              <w:tr2bl w:val="nil"/>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7474" w:type="dxa"/>
            <w:gridSpan w:val="2"/>
            <w:tcBorders>
              <w:tl2br w:val="nil"/>
              <w:tr2bl w:val="nil"/>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HY</w:t>
            </w:r>
            <w:r>
              <w:rPr>
                <w:rFonts w:ascii="宋体" w:hAnsi="宋体" w:cs="宋体" w:hint="eastAsia"/>
                <w:color w:val="000000"/>
                <w:kern w:val="0"/>
                <w:sz w:val="24"/>
              </w:rPr>
              <w:t>指数组</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）得尔塔敏感度风险权重见表</w:t>
      </w:r>
      <w:r>
        <w:rPr>
          <w:rFonts w:ascii="仿宋_GB2312" w:eastAsia="仿宋_GB2312" w:cs="仿宋_GB2312"/>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。同一风险组内不同期限的风险权重相同。</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4</w:t>
      </w:r>
      <w:r>
        <w:rPr>
          <w:rFonts w:ascii="楷体_GB2312" w:eastAsia="楷体_GB2312"/>
          <w:b/>
          <w:sz w:val="28"/>
          <w:szCs w:val="28"/>
        </w:rPr>
        <w:t xml:space="preserve"> </w:t>
      </w:r>
      <w:r>
        <w:rPr>
          <w:rFonts w:ascii="楷体_GB2312" w:eastAsia="楷体_GB2312" w:hint="eastAsia"/>
          <w:b/>
          <w:sz w:val="28"/>
          <w:szCs w:val="28"/>
        </w:rPr>
        <w:t>非证券化信用利差得尔塔敏感度的风险权重</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9"/>
        <w:gridCol w:w="3741"/>
      </w:tblGrid>
      <w:tr w:rsidR="004165E8">
        <w:trPr>
          <w:trHeight w:val="340"/>
          <w:jc w:val="center"/>
        </w:trPr>
        <w:tc>
          <w:tcPr>
            <w:tcW w:w="3909" w:type="dxa"/>
          </w:tcPr>
          <w:p w:rsidR="004165E8" w:rsidRDefault="00A108D9">
            <w:pPr>
              <w:jc w:val="center"/>
              <w:rPr>
                <w:rFonts w:ascii="宋体" w:hAnsi="宋体" w:cs="宋体"/>
                <w:b/>
                <w:bCs/>
                <w:color w:val="000000"/>
                <w:sz w:val="24"/>
              </w:rPr>
            </w:pPr>
            <w:r>
              <w:rPr>
                <w:rFonts w:ascii="宋体" w:hAnsi="宋体" w:cs="宋体" w:hint="eastAsia"/>
                <w:b/>
                <w:bCs/>
                <w:color w:val="000000"/>
                <w:sz w:val="24"/>
              </w:rPr>
              <w:t>风险组序号</w:t>
            </w:r>
          </w:p>
        </w:tc>
        <w:tc>
          <w:tcPr>
            <w:tcW w:w="3741" w:type="dxa"/>
          </w:tcPr>
          <w:p w:rsidR="004165E8" w:rsidRDefault="00A108D9">
            <w:pPr>
              <w:jc w:val="center"/>
              <w:rPr>
                <w:rFonts w:ascii="宋体" w:hAnsi="宋体" w:cs="宋体"/>
                <w:b/>
                <w:bCs/>
                <w:color w:val="000000"/>
                <w:sz w:val="24"/>
              </w:rPr>
            </w:pPr>
            <w:r>
              <w:rPr>
                <w:rFonts w:ascii="宋体" w:hAnsi="宋体" w:cs="宋体" w:hint="eastAsia"/>
                <w:b/>
                <w:bCs/>
                <w:color w:val="000000"/>
                <w:sz w:val="24"/>
              </w:rPr>
              <w:t>风险权重</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0.5%</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2</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3</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5.0%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4</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3.0%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5</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3.0%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6</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2.0%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7</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1.5%</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8</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2.5%</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9</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2.0%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10</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4.0%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11</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12.0%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12</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7.0%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13</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8.5%</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14</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5.5%</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15</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5.0%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16</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12.0%</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17</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1.5%</w:t>
            </w:r>
          </w:p>
        </w:tc>
      </w:tr>
      <w:tr w:rsidR="004165E8">
        <w:trPr>
          <w:trHeight w:val="340"/>
          <w:jc w:val="center"/>
        </w:trPr>
        <w:tc>
          <w:tcPr>
            <w:tcW w:w="3909"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18</w:t>
            </w:r>
          </w:p>
        </w:tc>
        <w:tc>
          <w:tcPr>
            <w:tcW w:w="3741"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5.0%</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对于评级为</w:t>
      </w:r>
      <w:r>
        <w:rPr>
          <w:rFonts w:ascii="仿宋_GB2312" w:eastAsia="仿宋_GB2312" w:cs="仿宋_GB2312" w:hint="eastAsia"/>
          <w:color w:val="000000"/>
          <w:kern w:val="0"/>
          <w:sz w:val="30"/>
          <w:szCs w:val="30"/>
          <w:shd w:val="clear" w:color="auto" w:fill="FFFFFF"/>
          <w:lang w:bidi="ar"/>
        </w:rPr>
        <w:t>AA-</w:t>
      </w:r>
      <w:r>
        <w:rPr>
          <w:rFonts w:ascii="仿宋_GB2312" w:eastAsia="仿宋_GB2312" w:cs="仿宋_GB2312" w:hint="eastAsia"/>
          <w:color w:val="000000"/>
          <w:kern w:val="0"/>
          <w:sz w:val="30"/>
          <w:szCs w:val="30"/>
          <w:shd w:val="clear" w:color="auto" w:fill="FFFFFF"/>
          <w:lang w:bidi="ar"/>
        </w:rPr>
        <w:t>级或更高级别的合格资产担保债券，商业银行可将风险权重定为</w:t>
      </w:r>
      <w:r>
        <w:rPr>
          <w:rFonts w:ascii="仿宋_GB2312" w:eastAsia="仿宋_GB2312" w:cs="仿宋_GB2312" w:hint="eastAsia"/>
          <w:color w:val="000000"/>
          <w:kern w:val="0"/>
          <w:sz w:val="30"/>
          <w:szCs w:val="30"/>
          <w:shd w:val="clear" w:color="auto" w:fill="FFFFFF"/>
          <w:lang w:bidi="ar"/>
        </w:rPr>
        <w:t>1.5%</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）对于</w:t>
      </w:r>
      <w:proofErr w:type="gramStart"/>
      <w:r>
        <w:rPr>
          <w:rFonts w:ascii="仿宋_GB2312" w:eastAsia="仿宋_GB2312" w:cs="仿宋_GB2312" w:hint="eastAsia"/>
          <w:color w:val="000000"/>
          <w:kern w:val="0"/>
          <w:sz w:val="30"/>
          <w:szCs w:val="30"/>
          <w:shd w:val="clear" w:color="auto" w:fill="FFFFFF"/>
          <w:lang w:bidi="ar"/>
        </w:rPr>
        <w:t>除风险组</w:t>
      </w:r>
      <w:proofErr w:type="gramEnd"/>
      <w:r>
        <w:rPr>
          <w:rFonts w:ascii="仿宋_GB2312" w:eastAsia="仿宋_GB2312" w:cs="仿宋_GB2312" w:hint="eastAsia"/>
          <w:color w:val="000000"/>
          <w:kern w:val="0"/>
          <w:sz w:val="30"/>
          <w:szCs w:val="30"/>
          <w:shd w:val="clear" w:color="auto" w:fill="FFFFFF"/>
          <w:lang w:bidi="ar"/>
        </w:rPr>
        <w:t>16</w:t>
      </w:r>
      <w:r>
        <w:rPr>
          <w:rFonts w:ascii="仿宋_GB2312" w:eastAsia="仿宋_GB2312" w:cs="仿宋_GB2312" w:hint="eastAsia"/>
          <w:color w:val="000000"/>
          <w:kern w:val="0"/>
          <w:sz w:val="30"/>
          <w:szCs w:val="30"/>
          <w:shd w:val="clear" w:color="auto" w:fill="FFFFFF"/>
          <w:lang w:bidi="ar"/>
        </w:rPr>
        <w:t>外的风险组，计算得尔塔敏感度风险头寸时，同一个风险组内的相关系数</w:t>
      </w:r>
      <w:r>
        <w:rPr>
          <w:position w:val="-14"/>
          <w:sz w:val="30"/>
          <w:szCs w:val="30"/>
        </w:rPr>
        <w:object w:dxaOrig="400" w:dyaOrig="400">
          <v:shape id="_x0000_i1091" type="#_x0000_t75" style="width:19.95pt;height:19.95pt" o:ole="">
            <v:imagedata r:id="rId59" o:title=""/>
          </v:shape>
          <o:OLEObject Type="Embed" ProgID="Equation.DSMT4" ShapeID="_x0000_i1091" DrawAspect="Content" ObjectID="_1765373659" r:id="rId123"/>
        </w:object>
      </w:r>
      <w:r>
        <w:rPr>
          <w:rFonts w:ascii="仿宋_GB2312" w:eastAsia="仿宋_GB2312" w:cs="仿宋_GB2312" w:hint="eastAsia"/>
          <w:color w:val="000000"/>
          <w:kern w:val="0"/>
          <w:sz w:val="30"/>
          <w:szCs w:val="30"/>
          <w:shd w:val="clear" w:color="auto" w:fill="FFFFFF"/>
          <w:lang w:bidi="ar"/>
        </w:rPr>
        <w:t>计算方法如下：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12"/>
          <w:sz w:val="30"/>
          <w:szCs w:val="30"/>
        </w:rPr>
        <w:object w:dxaOrig="2853" w:dyaOrig="400">
          <v:shape id="_x0000_i1092" type="#_x0000_t75" style="width:142.55pt;height:19.95pt" o:ole="">
            <v:imagedata r:id="rId124" o:title=""/>
          </v:shape>
          <o:OLEObject Type="Embed" ProgID="Equation.DSMT4" ShapeID="_x0000_i1092" DrawAspect="Content" ObjectID="_1765373660" r:id="rId125"/>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15</w:t>
      </w:r>
      <w:r>
        <w:rPr>
          <w:rFonts w:ascii="仿宋_GB2312" w:eastAsia="仿宋_GB2312" w:hint="eastAsia"/>
          <w:sz w:val="30"/>
          <w:szCs w:val="30"/>
        </w:rPr>
        <w:t>，若发行人相同，则</w:t>
      </w:r>
      <w:r>
        <w:rPr>
          <w:position w:val="-12"/>
          <w:sz w:val="30"/>
          <w:szCs w:val="30"/>
        </w:rPr>
        <w:object w:dxaOrig="760" w:dyaOrig="400">
          <v:shape id="_x0000_i1093" type="#_x0000_t75" style="width:38.15pt;height:19.95pt" o:ole="">
            <v:imagedata r:id="rId126" o:title=""/>
          </v:shape>
          <o:OLEObject Type="Embed" ProgID="Equation.DSMT4" ShapeID="_x0000_i1093" DrawAspect="Content" ObjectID="_1765373661" r:id="rId127"/>
        </w:object>
      </w:r>
      <w:r>
        <w:rPr>
          <w:rFonts w:ascii="仿宋_GB2312" w:eastAsia="仿宋_GB2312" w:hint="eastAsia"/>
          <w:sz w:val="30"/>
          <w:szCs w:val="30"/>
        </w:rPr>
        <w:t>为</w:t>
      </w:r>
      <w:r>
        <w:rPr>
          <w:rFonts w:ascii="仿宋_GB2312" w:eastAsia="仿宋_GB2312" w:hint="eastAsia"/>
          <w:sz w:val="30"/>
          <w:szCs w:val="30"/>
        </w:rPr>
        <w:t>1</w:t>
      </w:r>
      <w:r>
        <w:rPr>
          <w:rFonts w:ascii="仿宋_GB2312" w:eastAsia="仿宋_GB2312" w:hint="eastAsia"/>
          <w:sz w:val="30"/>
          <w:szCs w:val="30"/>
        </w:rPr>
        <w:t>，否则为</w:t>
      </w:r>
      <w:r>
        <w:rPr>
          <w:rFonts w:ascii="仿宋_GB2312" w:eastAsia="仿宋_GB2312" w:hint="eastAsia"/>
          <w:sz w:val="30"/>
          <w:szCs w:val="30"/>
        </w:rPr>
        <w:t>35%</w:t>
      </w:r>
      <w:r>
        <w:rPr>
          <w:rFonts w:ascii="仿宋_GB2312" w:eastAsia="仿宋_GB2312" w:hint="eastAsia"/>
          <w:sz w:val="30"/>
          <w:szCs w:val="30"/>
        </w:rPr>
        <w:t>；若期限维度相同，则</w:t>
      </w:r>
      <w:r>
        <w:rPr>
          <w:position w:val="-12"/>
          <w:sz w:val="30"/>
          <w:szCs w:val="30"/>
        </w:rPr>
        <w:object w:dxaOrig="653" w:dyaOrig="400">
          <v:shape id="_x0000_i1094" type="#_x0000_t75" style="width:32.8pt;height:19.95pt" o:ole="">
            <v:imagedata r:id="rId128" o:title=""/>
          </v:shape>
          <o:OLEObject Type="Embed" ProgID="Equation.DSMT4" ShapeID="_x0000_i1094" DrawAspect="Content" ObjectID="_1765373662" r:id="rId129"/>
        </w:object>
      </w:r>
      <w:r>
        <w:rPr>
          <w:rFonts w:ascii="仿宋_GB2312" w:eastAsia="仿宋_GB2312" w:hint="eastAsia"/>
          <w:sz w:val="30"/>
          <w:szCs w:val="30"/>
        </w:rPr>
        <w:t>为</w:t>
      </w:r>
      <w:r>
        <w:rPr>
          <w:rFonts w:ascii="仿宋_GB2312" w:eastAsia="仿宋_GB2312" w:hint="eastAsia"/>
          <w:sz w:val="30"/>
          <w:szCs w:val="30"/>
        </w:rPr>
        <w:t>1</w:t>
      </w:r>
      <w:r>
        <w:rPr>
          <w:rFonts w:ascii="仿宋_GB2312" w:eastAsia="仿宋_GB2312" w:hint="eastAsia"/>
          <w:sz w:val="30"/>
          <w:szCs w:val="30"/>
        </w:rPr>
        <w:t>，否则为</w:t>
      </w:r>
      <w:r>
        <w:rPr>
          <w:rFonts w:ascii="仿宋_GB2312" w:eastAsia="仿宋_GB2312" w:hint="eastAsia"/>
          <w:sz w:val="30"/>
          <w:szCs w:val="30"/>
        </w:rPr>
        <w:t>65%</w:t>
      </w:r>
      <w:r>
        <w:rPr>
          <w:rFonts w:ascii="仿宋_GB2312" w:eastAsia="仿宋_GB2312" w:hint="eastAsia"/>
          <w:sz w:val="30"/>
          <w:szCs w:val="30"/>
        </w:rPr>
        <w:t>；若同为债券</w:t>
      </w:r>
      <w:r>
        <w:rPr>
          <w:rFonts w:ascii="仿宋_GB2312" w:eastAsia="仿宋_GB2312" w:hint="eastAsia"/>
          <w:sz w:val="30"/>
          <w:szCs w:val="30"/>
        </w:rPr>
        <w:lastRenderedPageBreak/>
        <w:t>信用利</w:t>
      </w:r>
      <w:r>
        <w:rPr>
          <w:rFonts w:ascii="仿宋_GB2312" w:eastAsia="仿宋_GB2312" w:hint="eastAsia"/>
          <w:sz w:val="30"/>
          <w:szCs w:val="30"/>
        </w:rPr>
        <w:t>差曲线或同为</w:t>
      </w:r>
      <w:r>
        <w:rPr>
          <w:rFonts w:ascii="仿宋_GB2312" w:eastAsia="仿宋_GB2312" w:hint="eastAsia"/>
          <w:sz w:val="30"/>
          <w:szCs w:val="30"/>
        </w:rPr>
        <w:t>C</w:t>
      </w:r>
      <w:r>
        <w:rPr>
          <w:rFonts w:ascii="仿宋_GB2312" w:eastAsia="仿宋_GB2312"/>
          <w:sz w:val="30"/>
          <w:szCs w:val="30"/>
        </w:rPr>
        <w:t>DS</w:t>
      </w:r>
      <w:r>
        <w:rPr>
          <w:rFonts w:ascii="仿宋_GB2312" w:eastAsia="仿宋_GB2312" w:hint="eastAsia"/>
          <w:sz w:val="30"/>
          <w:szCs w:val="30"/>
        </w:rPr>
        <w:t>信用利差曲线，则</w:t>
      </w:r>
      <w:r>
        <w:rPr>
          <w:position w:val="-12"/>
          <w:sz w:val="30"/>
          <w:szCs w:val="30"/>
        </w:rPr>
        <w:object w:dxaOrig="693" w:dyaOrig="400">
          <v:shape id="_x0000_i1095" type="#_x0000_t75" style="width:34.55pt;height:19.95pt" o:ole="">
            <v:imagedata r:id="rId130" o:title=""/>
          </v:shape>
          <o:OLEObject Type="Embed" ProgID="Equation.DSMT4" ShapeID="_x0000_i1095" DrawAspect="Content" ObjectID="_1765373663" r:id="rId131"/>
        </w:object>
      </w:r>
      <w:r>
        <w:rPr>
          <w:rFonts w:ascii="仿宋_GB2312" w:eastAsia="仿宋_GB2312" w:hint="eastAsia"/>
          <w:sz w:val="30"/>
          <w:szCs w:val="30"/>
        </w:rPr>
        <w:t>为</w:t>
      </w:r>
      <w:r>
        <w:rPr>
          <w:rFonts w:ascii="仿宋_GB2312" w:eastAsia="仿宋_GB2312" w:hint="eastAsia"/>
          <w:sz w:val="30"/>
          <w:szCs w:val="30"/>
        </w:rPr>
        <w:t>1</w:t>
      </w:r>
      <w:r>
        <w:rPr>
          <w:rFonts w:ascii="仿宋_GB2312" w:eastAsia="仿宋_GB2312" w:hint="eastAsia"/>
          <w:sz w:val="30"/>
          <w:szCs w:val="30"/>
        </w:rPr>
        <w:t>，否则为</w:t>
      </w:r>
      <w:r>
        <w:rPr>
          <w:rFonts w:ascii="仿宋_GB2312" w:eastAsia="仿宋_GB2312" w:hint="eastAsia"/>
          <w:sz w:val="30"/>
          <w:szCs w:val="30"/>
        </w:rPr>
        <w:t>99.90%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风险组</w:t>
      </w:r>
      <w:r>
        <w:rPr>
          <w:rFonts w:ascii="仿宋_GB2312" w:eastAsia="仿宋_GB2312" w:hint="eastAsia"/>
          <w:sz w:val="30"/>
          <w:szCs w:val="30"/>
        </w:rPr>
        <w:t>17</w:t>
      </w:r>
      <w:r>
        <w:rPr>
          <w:rFonts w:ascii="仿宋_GB2312" w:eastAsia="仿宋_GB2312" w:hint="eastAsia"/>
          <w:sz w:val="30"/>
          <w:szCs w:val="30"/>
        </w:rPr>
        <w:t>和</w:t>
      </w:r>
      <w:r>
        <w:rPr>
          <w:rFonts w:ascii="仿宋_GB2312" w:eastAsia="仿宋_GB2312" w:hint="eastAsia"/>
          <w:sz w:val="30"/>
          <w:szCs w:val="30"/>
        </w:rPr>
        <w:t>18</w:t>
      </w:r>
      <w:r>
        <w:rPr>
          <w:rFonts w:ascii="仿宋_GB2312" w:eastAsia="仿宋_GB2312" w:hint="eastAsia"/>
          <w:sz w:val="30"/>
          <w:szCs w:val="30"/>
        </w:rPr>
        <w:t>，若发行人相同，则</w:t>
      </w:r>
      <w:r>
        <w:rPr>
          <w:position w:val="-12"/>
          <w:sz w:val="30"/>
          <w:szCs w:val="30"/>
        </w:rPr>
        <w:object w:dxaOrig="760" w:dyaOrig="400">
          <v:shape id="_x0000_i1096" type="#_x0000_t75" style="width:38.15pt;height:19.95pt" o:ole="">
            <v:imagedata r:id="rId126" o:title=""/>
          </v:shape>
          <o:OLEObject Type="Embed" ProgID="Equation.DSMT4" ShapeID="_x0000_i1096" DrawAspect="Content" ObjectID="_1765373664" r:id="rId132"/>
        </w:object>
      </w:r>
      <w:r>
        <w:rPr>
          <w:rFonts w:ascii="仿宋_GB2312" w:eastAsia="仿宋_GB2312" w:hint="eastAsia"/>
          <w:sz w:val="30"/>
          <w:szCs w:val="30"/>
        </w:rPr>
        <w:t>为</w:t>
      </w:r>
      <w:r>
        <w:rPr>
          <w:rFonts w:ascii="仿宋_GB2312" w:eastAsia="仿宋_GB2312" w:hint="eastAsia"/>
          <w:sz w:val="30"/>
          <w:szCs w:val="30"/>
        </w:rPr>
        <w:t>1</w:t>
      </w:r>
      <w:r>
        <w:rPr>
          <w:rFonts w:ascii="仿宋_GB2312" w:eastAsia="仿宋_GB2312" w:hint="eastAsia"/>
          <w:sz w:val="30"/>
          <w:szCs w:val="30"/>
        </w:rPr>
        <w:t>，否则为</w:t>
      </w:r>
      <w:r>
        <w:rPr>
          <w:rFonts w:ascii="仿宋_GB2312" w:eastAsia="仿宋_GB2312" w:hint="eastAsia"/>
          <w:sz w:val="30"/>
          <w:szCs w:val="30"/>
        </w:rPr>
        <w:t>80%</w:t>
      </w:r>
      <w:r>
        <w:rPr>
          <w:rFonts w:ascii="仿宋_GB2312" w:eastAsia="仿宋_GB2312" w:hint="eastAsia"/>
          <w:sz w:val="30"/>
          <w:szCs w:val="30"/>
        </w:rPr>
        <w:t>；若期限维度相同，则</w:t>
      </w:r>
      <w:r>
        <w:rPr>
          <w:position w:val="-12"/>
          <w:sz w:val="30"/>
          <w:szCs w:val="30"/>
        </w:rPr>
        <w:object w:dxaOrig="653" w:dyaOrig="400">
          <v:shape id="_x0000_i1097" type="#_x0000_t75" style="width:32.8pt;height:19.95pt" o:ole="">
            <v:imagedata r:id="rId128" o:title=""/>
          </v:shape>
          <o:OLEObject Type="Embed" ProgID="Equation.DSMT4" ShapeID="_x0000_i1097" DrawAspect="Content" ObjectID="_1765373665" r:id="rId133"/>
        </w:object>
      </w:r>
      <w:r>
        <w:rPr>
          <w:rFonts w:ascii="仿宋_GB2312" w:eastAsia="仿宋_GB2312" w:hint="eastAsia"/>
          <w:sz w:val="30"/>
          <w:szCs w:val="30"/>
        </w:rPr>
        <w:t>为</w:t>
      </w:r>
      <w:r>
        <w:rPr>
          <w:rFonts w:ascii="仿宋_GB2312" w:eastAsia="仿宋_GB2312" w:hint="eastAsia"/>
          <w:sz w:val="30"/>
          <w:szCs w:val="30"/>
        </w:rPr>
        <w:t>1</w:t>
      </w:r>
      <w:r>
        <w:rPr>
          <w:rFonts w:ascii="仿宋_GB2312" w:eastAsia="仿宋_GB2312" w:hint="eastAsia"/>
          <w:sz w:val="30"/>
          <w:szCs w:val="30"/>
        </w:rPr>
        <w:t>，否则为</w:t>
      </w:r>
      <w:r>
        <w:rPr>
          <w:rFonts w:ascii="仿宋_GB2312" w:eastAsia="仿宋_GB2312" w:hint="eastAsia"/>
          <w:sz w:val="30"/>
          <w:szCs w:val="30"/>
        </w:rPr>
        <w:t>65%</w:t>
      </w:r>
      <w:r>
        <w:rPr>
          <w:rFonts w:ascii="仿宋_GB2312" w:eastAsia="仿宋_GB2312" w:hint="eastAsia"/>
          <w:sz w:val="30"/>
          <w:szCs w:val="30"/>
        </w:rPr>
        <w:t>；若同为债券信用利差曲线或同为</w:t>
      </w:r>
      <w:r>
        <w:rPr>
          <w:rFonts w:ascii="仿宋_GB2312" w:eastAsia="仿宋_GB2312" w:hint="eastAsia"/>
          <w:sz w:val="30"/>
          <w:szCs w:val="30"/>
        </w:rPr>
        <w:t>C</w:t>
      </w:r>
      <w:r>
        <w:rPr>
          <w:rFonts w:ascii="仿宋_GB2312" w:eastAsia="仿宋_GB2312"/>
          <w:sz w:val="30"/>
          <w:szCs w:val="30"/>
        </w:rPr>
        <w:t>DS</w:t>
      </w:r>
      <w:r>
        <w:rPr>
          <w:rFonts w:ascii="仿宋_GB2312" w:eastAsia="仿宋_GB2312" w:hint="eastAsia"/>
          <w:sz w:val="30"/>
          <w:szCs w:val="30"/>
        </w:rPr>
        <w:t>信用利差曲线，则</w:t>
      </w:r>
      <w:r>
        <w:rPr>
          <w:position w:val="-12"/>
          <w:sz w:val="30"/>
          <w:szCs w:val="30"/>
        </w:rPr>
        <w:object w:dxaOrig="693" w:dyaOrig="400">
          <v:shape id="_x0000_i1098" type="#_x0000_t75" style="width:34.55pt;height:19.95pt" o:ole="">
            <v:imagedata r:id="rId130" o:title=""/>
          </v:shape>
          <o:OLEObject Type="Embed" ProgID="Equation.DSMT4" ShapeID="_x0000_i1098" DrawAspect="Content" ObjectID="_1765373666" r:id="rId134"/>
        </w:object>
      </w:r>
      <w:r>
        <w:rPr>
          <w:rFonts w:ascii="仿宋_GB2312" w:eastAsia="仿宋_GB2312" w:hint="eastAsia"/>
          <w:sz w:val="30"/>
          <w:szCs w:val="30"/>
        </w:rPr>
        <w:t>为</w:t>
      </w:r>
      <w:r>
        <w:rPr>
          <w:rFonts w:ascii="仿宋_GB2312" w:eastAsia="仿宋_GB2312" w:hint="eastAsia"/>
          <w:sz w:val="30"/>
          <w:szCs w:val="30"/>
        </w:rPr>
        <w:t>1</w:t>
      </w:r>
      <w:r>
        <w:rPr>
          <w:rFonts w:ascii="仿宋_GB2312" w:eastAsia="仿宋_GB2312" w:hint="eastAsia"/>
          <w:sz w:val="30"/>
          <w:szCs w:val="30"/>
        </w:rPr>
        <w:t>，否则为</w:t>
      </w:r>
      <w:r>
        <w:rPr>
          <w:rFonts w:ascii="仿宋_GB2312" w:eastAsia="仿宋_GB2312" w:hint="eastAsia"/>
          <w:sz w:val="30"/>
          <w:szCs w:val="30"/>
        </w:rPr>
        <w:t>99.90%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16</w:t>
      </w:r>
      <w:r>
        <w:rPr>
          <w:rFonts w:ascii="仿宋_GB2312" w:eastAsia="仿宋_GB2312" w:cs="仿宋_GB2312" w:hint="eastAsia"/>
          <w:color w:val="000000"/>
          <w:kern w:val="0"/>
          <w:sz w:val="30"/>
          <w:szCs w:val="30"/>
          <w:shd w:val="clear" w:color="auto" w:fill="FFFFFF"/>
          <w:lang w:bidi="ar"/>
        </w:rPr>
        <w:t>不适用组内相关系数</w:t>
      </w:r>
      <w:r>
        <w:rPr>
          <w:position w:val="-14"/>
          <w:sz w:val="30"/>
          <w:szCs w:val="30"/>
        </w:rPr>
        <w:object w:dxaOrig="400" w:dyaOrig="400">
          <v:shape id="_x0000_i1099" type="#_x0000_t75" style="width:19.95pt;height:19.95pt" o:ole="">
            <v:imagedata r:id="rId59" o:title=""/>
          </v:shape>
          <o:OLEObject Type="Embed" ProgID="Equation.DSMT4" ShapeID="_x0000_i1099" DrawAspect="Content" ObjectID="_1765373667" r:id="rId135"/>
        </w:objec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16</w:t>
      </w:r>
      <w:r>
        <w:rPr>
          <w:rFonts w:ascii="仿宋_GB2312" w:eastAsia="仿宋_GB2312" w:cs="仿宋_GB2312" w:hint="eastAsia"/>
          <w:color w:val="000000"/>
          <w:kern w:val="0"/>
          <w:sz w:val="30"/>
          <w:szCs w:val="30"/>
          <w:shd w:val="clear" w:color="auto" w:fill="FFFFFF"/>
          <w:lang w:bidi="ar"/>
        </w:rPr>
        <w:t>的得尔塔和</w:t>
      </w:r>
      <w:proofErr w:type="gramStart"/>
      <w:r>
        <w:rPr>
          <w:rFonts w:ascii="仿宋_GB2312" w:eastAsia="仿宋_GB2312" w:cs="仿宋_GB2312" w:hint="eastAsia"/>
          <w:color w:val="000000"/>
          <w:kern w:val="0"/>
          <w:sz w:val="30"/>
          <w:szCs w:val="30"/>
          <w:shd w:val="clear" w:color="auto" w:fill="FFFFFF"/>
          <w:lang w:bidi="ar"/>
        </w:rPr>
        <w:t>维伽风险</w:t>
      </w:r>
      <w:proofErr w:type="gramEnd"/>
      <w:r>
        <w:rPr>
          <w:rFonts w:ascii="仿宋_GB2312" w:eastAsia="仿宋_GB2312" w:cs="仿宋_GB2312" w:hint="eastAsia"/>
          <w:color w:val="000000"/>
          <w:kern w:val="0"/>
          <w:sz w:val="30"/>
          <w:szCs w:val="30"/>
          <w:shd w:val="clear" w:color="auto" w:fill="FFFFFF"/>
          <w:lang w:bidi="ar"/>
        </w:rPr>
        <w:t>敏感度头寸等于组内</w:t>
      </w:r>
      <w:proofErr w:type="gramStart"/>
      <w:r>
        <w:rPr>
          <w:rFonts w:ascii="仿宋_GB2312" w:eastAsia="仿宋_GB2312" w:cs="仿宋_GB2312" w:hint="eastAsia"/>
          <w:color w:val="000000"/>
          <w:kern w:val="0"/>
          <w:sz w:val="30"/>
          <w:szCs w:val="30"/>
          <w:shd w:val="clear" w:color="auto" w:fill="FFFFFF"/>
          <w:lang w:bidi="ar"/>
        </w:rPr>
        <w:t>各风险</w:t>
      </w:r>
      <w:proofErr w:type="gramEnd"/>
      <w:r>
        <w:rPr>
          <w:rFonts w:ascii="仿宋_GB2312" w:eastAsia="仿宋_GB2312" w:cs="仿宋_GB2312" w:hint="eastAsia"/>
          <w:color w:val="000000"/>
          <w:kern w:val="0"/>
          <w:sz w:val="30"/>
          <w:szCs w:val="30"/>
          <w:shd w:val="clear" w:color="auto" w:fill="FFFFFF"/>
          <w:lang w:bidi="ar"/>
        </w:rPr>
        <w:t>因子加权敏感度的绝对值之和，公式如下：</w:t>
      </w:r>
    </w:p>
    <w:p w:rsidR="004165E8" w:rsidRDefault="00A108D9">
      <w:pPr>
        <w:jc w:val="center"/>
        <w:rPr>
          <w:sz w:val="30"/>
          <w:szCs w:val="30"/>
        </w:rPr>
      </w:pPr>
      <w:r>
        <w:rPr>
          <w:position w:val="-28"/>
          <w:sz w:val="30"/>
          <w:szCs w:val="30"/>
        </w:rPr>
        <w:object w:dxaOrig="2613" w:dyaOrig="733">
          <v:shape id="_x0000_i1100" type="#_x0000_t75" style="width:130.8pt;height:36.7pt" o:ole="">
            <v:imagedata r:id="rId136" o:title=""/>
          </v:shape>
          <o:OLEObject Type="Embed" ProgID="Equation.DSMT4" ShapeID="_x0000_i1100" DrawAspect="Content" ObjectID="_1765373668" r:id="rId137"/>
        </w:object>
      </w:r>
    </w:p>
    <w:p w:rsidR="004165E8" w:rsidRDefault="00A108D9">
      <w:pPr>
        <w:widowControl/>
        <w:ind w:firstLineChars="200" w:firstLine="600"/>
        <w:rPr>
          <w:rFonts w:ascii="仿宋_GB2312" w:eastAsia="仿宋_GB2312" w:cs="仿宋_GB2312"/>
          <w:color w:val="000000"/>
          <w:kern w:val="0"/>
          <w:sz w:val="30"/>
          <w:szCs w:val="30"/>
          <w:shd w:val="clear" w:color="auto" w:fill="FFFFFF"/>
          <w:lang w:bidi="ar"/>
        </w:rPr>
      </w:pPr>
      <w:r>
        <w:rPr>
          <w:sz w:val="30"/>
          <w:szCs w:val="30"/>
        </w:rPr>
        <w:t xml:space="preserve">  </w:t>
      </w: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16</w:t>
      </w:r>
      <w:r>
        <w:rPr>
          <w:rFonts w:ascii="仿宋_GB2312" w:eastAsia="仿宋_GB2312" w:cs="仿宋_GB2312" w:hint="eastAsia"/>
          <w:color w:val="000000"/>
          <w:kern w:val="0"/>
          <w:sz w:val="30"/>
          <w:szCs w:val="30"/>
          <w:shd w:val="clear" w:color="auto" w:fill="FFFFFF"/>
          <w:lang w:bidi="ar"/>
        </w:rPr>
        <w:t>的曲度风险敏感度头寸的计算公式如下：</w:t>
      </w:r>
    </w:p>
    <w:p w:rsidR="004165E8" w:rsidRDefault="00A108D9">
      <w:pPr>
        <w:widowControl/>
        <w:jc w:val="center"/>
        <w:rPr>
          <w:i/>
          <w:sz w:val="30"/>
          <w:szCs w:val="30"/>
        </w:rPr>
      </w:pPr>
      <w:r>
        <w:rPr>
          <w:position w:val="-26"/>
          <w:sz w:val="30"/>
          <w:szCs w:val="30"/>
        </w:rPr>
        <w:object w:dxaOrig="6053" w:dyaOrig="627">
          <v:shape id="_x0000_i1101" type="#_x0000_t75" style="width:302.6pt;height:31.35pt" o:ole="">
            <v:imagedata r:id="rId138" o:title=""/>
          </v:shape>
          <o:OLEObject Type="Embed" ProgID="Equation.DSMT4" ShapeID="_x0000_i1101" DrawAspect="Content" ObjectID="_1765373669" r:id="rId139"/>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）对于风险组</w:t>
      </w:r>
      <w:r>
        <w:rPr>
          <w:rFonts w:ascii="仿宋_GB2312" w:eastAsia="仿宋_GB2312" w:cs="仿宋_GB2312"/>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至</w:t>
      </w:r>
      <w:r>
        <w:rPr>
          <w:rFonts w:ascii="仿宋_GB2312" w:eastAsia="仿宋_GB2312" w:cs="仿宋_GB2312"/>
          <w:color w:val="000000"/>
          <w:kern w:val="0"/>
          <w:sz w:val="30"/>
          <w:szCs w:val="30"/>
          <w:shd w:val="clear" w:color="auto" w:fill="FFFFFF"/>
          <w:lang w:bidi="ar"/>
        </w:rPr>
        <w:t>18</w:t>
      </w:r>
      <w:r>
        <w:rPr>
          <w:rFonts w:ascii="仿宋_GB2312" w:eastAsia="仿宋_GB2312" w:cs="仿宋_GB2312" w:hint="eastAsia"/>
          <w:color w:val="000000"/>
          <w:kern w:val="0"/>
          <w:sz w:val="30"/>
          <w:szCs w:val="30"/>
          <w:shd w:val="clear" w:color="auto" w:fill="FFFFFF"/>
          <w:lang w:bidi="ar"/>
        </w:rPr>
        <w:t>，计算得尔塔敏感度</w:t>
      </w:r>
      <w:proofErr w:type="gramStart"/>
      <w:r>
        <w:rPr>
          <w:rFonts w:ascii="仿宋_GB2312" w:eastAsia="仿宋_GB2312" w:cs="仿宋_GB2312" w:hint="eastAsia"/>
          <w:color w:val="000000"/>
          <w:kern w:val="0"/>
          <w:sz w:val="30"/>
          <w:szCs w:val="30"/>
          <w:shd w:val="clear" w:color="auto" w:fill="FFFFFF"/>
          <w:lang w:bidi="ar"/>
        </w:rPr>
        <w:t>和维伽敏感度</w:t>
      </w:r>
      <w:proofErr w:type="gramEnd"/>
      <w:r>
        <w:rPr>
          <w:rFonts w:ascii="仿宋_GB2312" w:eastAsia="仿宋_GB2312" w:cs="仿宋_GB2312" w:hint="eastAsia"/>
          <w:color w:val="000000"/>
          <w:kern w:val="0"/>
          <w:sz w:val="30"/>
          <w:szCs w:val="30"/>
          <w:shd w:val="clear" w:color="auto" w:fill="FFFFFF"/>
          <w:lang w:bidi="ar"/>
        </w:rPr>
        <w:t>资本要求时，不同风险组之间相关系数</w:t>
      </w:r>
      <w:r>
        <w:rPr>
          <w:position w:val="-12"/>
          <w:sz w:val="30"/>
          <w:szCs w:val="30"/>
        </w:rPr>
        <w:object w:dxaOrig="333" w:dyaOrig="333">
          <v:shape id="_x0000_i1102" type="#_x0000_t75" style="width:16.75pt;height:16.75pt" o:ole="">
            <v:imagedata r:id="rId18" o:title=""/>
          </v:shape>
          <o:OLEObject Type="Embed" ProgID="Equation.DSMT4" ShapeID="_x0000_i1102" DrawAspect="Content" ObjectID="_1765373670" r:id="rId140"/>
        </w:object>
      </w:r>
      <w:r>
        <w:rPr>
          <w:rFonts w:ascii="仿宋_GB2312" w:eastAsia="仿宋_GB2312" w:cs="仿宋_GB2312" w:hint="eastAsia"/>
          <w:color w:val="000000"/>
          <w:kern w:val="0"/>
          <w:sz w:val="30"/>
          <w:szCs w:val="30"/>
          <w:shd w:val="clear" w:color="auto" w:fill="FFFFFF"/>
          <w:lang w:bidi="ar"/>
        </w:rPr>
        <w:t>的计算公式如下：</w:t>
      </w:r>
      <w:r>
        <w:rPr>
          <w:rFonts w:ascii="仿宋_GB2312" w:eastAsia="仿宋_GB2312" w:cs="仿宋_GB2312"/>
          <w:color w:val="000000"/>
          <w:kern w:val="0"/>
          <w:sz w:val="30"/>
          <w:szCs w:val="30"/>
          <w:shd w:val="clear" w:color="auto" w:fill="FFFFFF"/>
          <w:lang w:bidi="ar"/>
        </w:rPr>
        <w:t xml:space="preserve"> </w:t>
      </w:r>
    </w:p>
    <w:p w:rsidR="004165E8" w:rsidRDefault="00A108D9">
      <w:pPr>
        <w:widowControl/>
        <w:spacing w:line="480" w:lineRule="exact"/>
        <w:jc w:val="center"/>
        <w:rPr>
          <w:rFonts w:ascii="仿宋_GB2312" w:eastAsia="仿宋_GB2312" w:cs="仿宋_GB2312"/>
          <w:color w:val="000000"/>
          <w:kern w:val="0"/>
          <w:sz w:val="30"/>
          <w:szCs w:val="30"/>
          <w:shd w:val="clear" w:color="auto" w:fill="FFFFFF"/>
          <w:lang w:bidi="ar"/>
        </w:rPr>
      </w:pPr>
      <w:r>
        <w:rPr>
          <w:position w:val="-12"/>
          <w:sz w:val="30"/>
          <w:szCs w:val="30"/>
        </w:rPr>
        <w:object w:dxaOrig="2467" w:dyaOrig="480">
          <v:shape id="_x0000_i1103" type="#_x0000_t75" style="width:123.35pt;height:23.9pt" o:ole="">
            <v:imagedata r:id="rId141" o:title=""/>
          </v:shape>
          <o:OLEObject Type="Embed" ProgID="Equation.DSMT4" ShapeID="_x0000_i1103" DrawAspect="Content" ObjectID="_1765373671" r:id="rId142"/>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proofErr w:type="gramStart"/>
      <w:r>
        <w:rPr>
          <w:rFonts w:ascii="仿宋_GB2312" w:eastAsia="仿宋_GB2312" w:cs="仿宋_GB2312" w:hint="eastAsia"/>
          <w:color w:val="000000"/>
          <w:kern w:val="0"/>
          <w:sz w:val="30"/>
          <w:szCs w:val="30"/>
          <w:shd w:val="clear" w:color="auto" w:fill="FFFFFF"/>
          <w:lang w:bidi="ar"/>
        </w:rPr>
        <w:t>若风险组</w:t>
      </w:r>
      <w:proofErr w:type="gramEnd"/>
      <w:r>
        <w:rPr>
          <w:rFonts w:ascii="仿宋_GB2312" w:eastAsia="仿宋_GB2312" w:cs="仿宋_GB2312" w:hint="eastAsia"/>
          <w:color w:val="000000"/>
          <w:kern w:val="0"/>
          <w:sz w:val="30"/>
          <w:szCs w:val="30"/>
          <w:shd w:val="clear" w:color="auto" w:fill="FFFFFF"/>
          <w:lang w:bidi="ar"/>
        </w:rPr>
        <w:t>b</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c</w:t>
      </w:r>
      <w:r>
        <w:rPr>
          <w:rFonts w:ascii="仿宋_GB2312" w:eastAsia="仿宋_GB2312" w:cs="仿宋_GB2312" w:hint="eastAsia"/>
          <w:color w:val="000000"/>
          <w:kern w:val="0"/>
          <w:sz w:val="30"/>
          <w:szCs w:val="30"/>
          <w:shd w:val="clear" w:color="auto" w:fill="FFFFFF"/>
          <w:lang w:bidi="ar"/>
        </w:rPr>
        <w:t>位于风险组</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至</w:t>
      </w:r>
      <w:r>
        <w:rPr>
          <w:rFonts w:ascii="仿宋_GB2312" w:eastAsia="仿宋_GB2312" w:cs="仿宋_GB2312" w:hint="eastAsia"/>
          <w:color w:val="000000"/>
          <w:kern w:val="0"/>
          <w:sz w:val="30"/>
          <w:szCs w:val="30"/>
          <w:shd w:val="clear" w:color="auto" w:fill="FFFFFF"/>
          <w:lang w:bidi="ar"/>
        </w:rPr>
        <w:t>15</w:t>
      </w:r>
      <w:r>
        <w:rPr>
          <w:rFonts w:ascii="仿宋_GB2312" w:eastAsia="仿宋_GB2312" w:cs="仿宋_GB2312" w:hint="eastAsia"/>
          <w:color w:val="000000"/>
          <w:kern w:val="0"/>
          <w:sz w:val="30"/>
          <w:szCs w:val="30"/>
          <w:shd w:val="clear" w:color="auto" w:fill="FFFFFF"/>
          <w:lang w:bidi="ar"/>
        </w:rPr>
        <w:t>，且发行主体信用水平不同（一组为投资级别，另一组为高收益</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无评级），则</w:t>
      </w:r>
      <w:r>
        <w:rPr>
          <w:position w:val="-12"/>
          <w:sz w:val="30"/>
          <w:szCs w:val="30"/>
        </w:rPr>
        <w:object w:dxaOrig="693" w:dyaOrig="400">
          <v:shape id="_x0000_i1104" type="#_x0000_t75" style="width:34.55pt;height:19.95pt" o:ole="">
            <v:imagedata r:id="rId143" o:title=""/>
          </v:shape>
          <o:OLEObject Type="Embed" ProgID="Equation.DSMT4" ShapeID="_x0000_i1104" DrawAspect="Content" ObjectID="_1765373672" r:id="rId144"/>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50%</w:t>
      </w:r>
      <w:r>
        <w:rPr>
          <w:rFonts w:ascii="仿宋_GB2312" w:eastAsia="仿宋_GB2312" w:cs="仿宋_GB2312" w:hint="eastAsia"/>
          <w:color w:val="000000"/>
          <w:kern w:val="0"/>
          <w:sz w:val="30"/>
          <w:szCs w:val="30"/>
          <w:shd w:val="clear" w:color="auto" w:fill="FFFFFF"/>
          <w:lang w:bidi="ar"/>
        </w:rPr>
        <w:t>，其他所有情况下，</w:t>
      </w:r>
      <w:r>
        <w:rPr>
          <w:position w:val="-12"/>
          <w:sz w:val="30"/>
          <w:szCs w:val="30"/>
        </w:rPr>
        <w:object w:dxaOrig="693" w:dyaOrig="400">
          <v:shape id="_x0000_i1105" type="#_x0000_t75" style="width:34.55pt;height:19.95pt" o:ole="">
            <v:imagedata r:id="rId143" o:title=""/>
          </v:shape>
          <o:OLEObject Type="Embed" ProgID="Equation.DSMT4" ShapeID="_x0000_i1105" DrawAspect="Content" ObjectID="_1765373673" r:id="rId145"/>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28"/>
          <w:szCs w:val="28"/>
          <w:shd w:val="clear" w:color="auto" w:fill="FFFFFF"/>
          <w:lang w:bidi="ar"/>
        </w:rPr>
      </w:pPr>
      <w:r>
        <w:rPr>
          <w:rFonts w:ascii="仿宋_GB2312" w:eastAsia="仿宋_GB2312" w:cs="仿宋_GB2312" w:hint="eastAsia"/>
          <w:color w:val="000000"/>
          <w:kern w:val="0"/>
          <w:sz w:val="30"/>
          <w:szCs w:val="30"/>
          <w:shd w:val="clear" w:color="auto" w:fill="FFFFFF"/>
          <w:lang w:bidi="ar"/>
        </w:rPr>
        <w:t>对于风险组</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至</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若风险组行业</w:t>
      </w:r>
      <w:proofErr w:type="gramEnd"/>
      <w:r>
        <w:rPr>
          <w:rFonts w:ascii="仿宋_GB2312" w:eastAsia="仿宋_GB2312" w:cs="仿宋_GB2312" w:hint="eastAsia"/>
          <w:color w:val="000000"/>
          <w:kern w:val="0"/>
          <w:sz w:val="30"/>
          <w:szCs w:val="30"/>
          <w:shd w:val="clear" w:color="auto" w:fill="FFFFFF"/>
          <w:lang w:bidi="ar"/>
        </w:rPr>
        <w:t>相同，则</w:t>
      </w:r>
      <w:r>
        <w:rPr>
          <w:position w:val="-12"/>
          <w:sz w:val="30"/>
          <w:szCs w:val="30"/>
        </w:rPr>
        <w:object w:dxaOrig="693" w:dyaOrig="400">
          <v:shape id="_x0000_i1106" type="#_x0000_t75" style="width:34.55pt;height:19.95pt" o:ole="">
            <v:imagedata r:id="rId146" o:title=""/>
          </v:shape>
          <o:OLEObject Type="Embed" ProgID="Equation.DSMT4" ShapeID="_x0000_i1106" DrawAspect="Content" ObjectID="_1765373674" r:id="rId147"/>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若风险组行业</w:t>
      </w:r>
      <w:proofErr w:type="gramEnd"/>
      <w:r>
        <w:rPr>
          <w:rFonts w:ascii="仿宋_GB2312" w:eastAsia="仿宋_GB2312" w:cs="仿宋_GB2312" w:hint="eastAsia"/>
          <w:color w:val="000000"/>
          <w:kern w:val="0"/>
          <w:sz w:val="30"/>
          <w:szCs w:val="30"/>
          <w:shd w:val="clear" w:color="auto" w:fill="FFFFFF"/>
          <w:lang w:bidi="ar"/>
        </w:rPr>
        <w:t>不同，则</w:t>
      </w:r>
      <w:r>
        <w:rPr>
          <w:position w:val="-12"/>
          <w:sz w:val="30"/>
          <w:szCs w:val="30"/>
        </w:rPr>
        <w:object w:dxaOrig="693" w:dyaOrig="400">
          <v:shape id="_x0000_i1107" type="#_x0000_t75" style="width:34.55pt;height:19.95pt" o:ole="">
            <v:imagedata r:id="rId146" o:title=""/>
          </v:shape>
          <o:OLEObject Type="Embed" ProgID="Equation.DSMT4" ShapeID="_x0000_i1107" DrawAspect="Content" ObjectID="_1765373675" r:id="rId148"/>
        </w:object>
      </w:r>
      <w:r>
        <w:rPr>
          <w:rFonts w:ascii="仿宋_GB2312" w:eastAsia="仿宋_GB2312" w:cs="仿宋_GB2312" w:hint="eastAsia"/>
          <w:color w:val="000000"/>
          <w:kern w:val="0"/>
          <w:sz w:val="30"/>
          <w:szCs w:val="30"/>
          <w:shd w:val="clear" w:color="auto" w:fill="FFFFFF"/>
          <w:lang w:bidi="ar"/>
        </w:rPr>
        <w:t>按表</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取数。</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5</w:t>
      </w:r>
      <w:r>
        <w:rPr>
          <w:rFonts w:ascii="楷体_GB2312" w:eastAsia="楷体_GB2312"/>
          <w:b/>
          <w:sz w:val="28"/>
          <w:szCs w:val="28"/>
        </w:rPr>
        <w:t xml:space="preserve"> </w:t>
      </w:r>
      <w:r>
        <w:rPr>
          <w:rFonts w:ascii="楷体_GB2312" w:eastAsia="楷体_GB2312" w:hint="eastAsia"/>
          <w:b/>
          <w:sz w:val="28"/>
          <w:szCs w:val="28"/>
        </w:rPr>
        <w:t>风险组间相关系数</w:t>
      </w:r>
      <w:r>
        <w:rPr>
          <w:rFonts w:ascii="楷体_GB2312" w:eastAsia="楷体_GB2312"/>
          <w:b/>
          <w:sz w:val="28"/>
          <w:szCs w:val="28"/>
        </w:rPr>
        <w:object w:dxaOrig="653" w:dyaOrig="400">
          <v:shape id="_x0000_i1108" type="#_x0000_t75" style="width:32.8pt;height:19.95pt" o:ole="">
            <v:imagedata r:id="rId149" o:title=""/>
          </v:shape>
          <o:OLEObject Type="Embed" ProgID="Equation.DSMT4" ShapeID="_x0000_i1108" DrawAspect="Content" ObjectID="_1765373676" r:id="rId150"/>
        </w:object>
      </w:r>
    </w:p>
    <w:tbl>
      <w:tblPr>
        <w:tblW w:w="8705" w:type="dxa"/>
        <w:tblInd w:w="-183" w:type="dxa"/>
        <w:tblLayout w:type="fixed"/>
        <w:tblLook w:val="04A0" w:firstRow="1" w:lastRow="0" w:firstColumn="1" w:lastColumn="0" w:noHBand="0" w:noVBand="1"/>
      </w:tblPr>
      <w:tblGrid>
        <w:gridCol w:w="979"/>
        <w:gridCol w:w="619"/>
        <w:gridCol w:w="710"/>
        <w:gridCol w:w="711"/>
        <w:gridCol w:w="711"/>
        <w:gridCol w:w="711"/>
        <w:gridCol w:w="711"/>
        <w:gridCol w:w="711"/>
        <w:gridCol w:w="711"/>
        <w:gridCol w:w="711"/>
        <w:gridCol w:w="711"/>
        <w:gridCol w:w="709"/>
      </w:tblGrid>
      <w:tr w:rsidR="004165E8">
        <w:trPr>
          <w:tblHeader/>
        </w:trPr>
        <w:tc>
          <w:tcPr>
            <w:tcW w:w="979"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w:t>
            </w:r>
          </w:p>
        </w:tc>
        <w:tc>
          <w:tcPr>
            <w:tcW w:w="61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1/9</w:t>
            </w:r>
          </w:p>
        </w:tc>
        <w:tc>
          <w:tcPr>
            <w:tcW w:w="710"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2/10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3/11</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4/12</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5/13</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6/14</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7/15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8</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16</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17</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18</w:t>
            </w:r>
          </w:p>
        </w:tc>
      </w:tr>
      <w:tr w:rsidR="004165E8">
        <w:trPr>
          <w:trHeight w:val="70"/>
        </w:trPr>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1/9</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2/10</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3/11</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4/12</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5/13</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lastRenderedPageBreak/>
              <w:t>6/14</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7/15</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8</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color w:val="000000"/>
                <w:kern w:val="0"/>
                <w:sz w:val="24"/>
              </w:rPr>
              <w:t>0%</w:t>
            </w: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color w:val="000000"/>
                <w:kern w:val="0"/>
                <w:sz w:val="24"/>
              </w:rPr>
              <w:t>45%</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color w:val="000000"/>
                <w:kern w:val="0"/>
                <w:sz w:val="24"/>
              </w:rPr>
              <w:t>45%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16</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color w:val="000000"/>
                <w:kern w:val="0"/>
                <w:sz w:val="24"/>
              </w:rPr>
              <w:t>0%</w:t>
            </w: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color w:val="000000"/>
                <w:kern w:val="0"/>
                <w:sz w:val="24"/>
              </w:rPr>
              <w:t>0%</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17</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0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color w:val="000000"/>
                <w:kern w:val="0"/>
                <w:sz w:val="24"/>
              </w:rPr>
              <w:t>75%</w:t>
            </w:r>
          </w:p>
        </w:tc>
      </w:tr>
      <w:tr w:rsidR="004165E8">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18</w:t>
            </w:r>
          </w:p>
        </w:tc>
        <w:tc>
          <w:tcPr>
            <w:tcW w:w="61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0"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11"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c>
          <w:tcPr>
            <w:tcW w:w="709" w:type="dxa"/>
            <w:tcBorders>
              <w:top w:val="single" w:sz="4" w:space="0" w:color="000000"/>
              <w:left w:val="nil"/>
              <w:bottom w:val="single" w:sz="4" w:space="0" w:color="000000"/>
              <w:right w:val="single" w:sz="4" w:space="0" w:color="000000"/>
            </w:tcBorders>
            <w:shd w:val="clear" w:color="auto" w:fill="E0E0E0"/>
            <w:vAlign w:val="center"/>
          </w:tcPr>
          <w:p w:rsidR="004165E8" w:rsidRDefault="004165E8">
            <w:pPr>
              <w:widowControl/>
              <w:jc w:val="center"/>
              <w:rPr>
                <w:rFonts w:ascii="宋体" w:hAnsi="宋体" w:cs="宋体"/>
                <w:b/>
                <w:bCs/>
                <w:color w:val="000000"/>
                <w:kern w:val="0"/>
                <w:sz w:val="24"/>
              </w:rPr>
            </w:pP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hint="eastAsia"/>
          <w:sz w:val="30"/>
          <w:szCs w:val="30"/>
        </w:rPr>
        <w:t>的</w:t>
      </w:r>
      <w:r>
        <w:rPr>
          <w:rFonts w:ascii="仿宋_GB2312" w:eastAsia="仿宋_GB2312" w:cs="仿宋_GB2312" w:hint="eastAsia"/>
          <w:color w:val="000000"/>
          <w:kern w:val="0"/>
          <w:sz w:val="30"/>
          <w:szCs w:val="30"/>
          <w:shd w:val="clear" w:color="auto" w:fill="FFFFFF"/>
          <w:lang w:bidi="ar"/>
        </w:rPr>
        <w:t>风险权重为</w:t>
      </w:r>
      <w:r>
        <w:rPr>
          <w:rFonts w:ascii="仿宋_GB2312" w:eastAsia="仿宋_GB2312" w:cs="仿宋_GB2312" w:hint="eastAsia"/>
          <w:color w:val="000000"/>
          <w:kern w:val="0"/>
          <w:sz w:val="30"/>
          <w:szCs w:val="30"/>
          <w:shd w:val="clear" w:color="auto" w:fill="FFFFFF"/>
          <w:lang w:bidi="ar"/>
        </w:rPr>
        <w:t>100%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）计算</w:t>
      </w:r>
      <w:proofErr w:type="gramStart"/>
      <w:r>
        <w:rPr>
          <w:rFonts w:ascii="仿宋_GB2312" w:eastAsia="仿宋_GB2312" w:cs="仿宋_GB2312" w:hint="eastAsia"/>
          <w:color w:val="000000"/>
          <w:kern w:val="0"/>
          <w:sz w:val="30"/>
          <w:szCs w:val="30"/>
          <w:shd w:val="clear" w:color="auto" w:fill="FFFFFF"/>
          <w:lang w:bidi="ar"/>
        </w:rPr>
        <w:t>组内维伽敏感度</w:t>
      </w:r>
      <w:proofErr w:type="gramEnd"/>
      <w:r>
        <w:rPr>
          <w:rFonts w:ascii="仿宋_GB2312" w:eastAsia="仿宋_GB2312" w:cs="仿宋_GB2312" w:hint="eastAsia"/>
          <w:color w:val="000000"/>
          <w:kern w:val="0"/>
          <w:sz w:val="30"/>
          <w:szCs w:val="30"/>
          <w:shd w:val="clear" w:color="auto" w:fill="FFFFFF"/>
          <w:lang w:bidi="ar"/>
        </w:rPr>
        <w:t>风险头寸时，同一个风险组内的相关系数</w:t>
      </w:r>
      <w:r>
        <w:rPr>
          <w:position w:val="-14"/>
          <w:sz w:val="30"/>
          <w:szCs w:val="30"/>
        </w:rPr>
        <w:object w:dxaOrig="387" w:dyaOrig="387">
          <v:shape id="_x0000_i1109" type="#_x0000_t75" style="width:19.25pt;height:19.25pt" o:ole="">
            <v:imagedata r:id="rId59" o:title=""/>
          </v:shape>
          <o:OLEObject Type="Embed" ProgID="Equation.DSMT4" ShapeID="_x0000_i1109" DrawAspect="Content" ObjectID="_1765373677" r:id="rId151"/>
        </w:object>
      </w:r>
      <w:r>
        <w:rPr>
          <w:rFonts w:ascii="仿宋_GB2312" w:eastAsia="仿宋_GB2312" w:hint="eastAsia"/>
          <w:sz w:val="30"/>
          <w:szCs w:val="30"/>
        </w:rPr>
        <w:t>计算公式如下</w:t>
      </w:r>
      <w:r>
        <w:rPr>
          <w:rFonts w:ascii="仿宋_GB2312" w:eastAsia="仿宋_GB2312" w:cs="仿宋_GB2312" w:hint="eastAsia"/>
          <w:color w:val="000000"/>
          <w:kern w:val="0"/>
          <w:sz w:val="30"/>
          <w:szCs w:val="30"/>
          <w:shd w:val="clear" w:color="auto" w:fill="FFFFFF"/>
          <w:lang w:bidi="ar"/>
        </w:rPr>
        <w:t>：</w:t>
      </w:r>
    </w:p>
    <w:p w:rsidR="004165E8" w:rsidRDefault="00A108D9">
      <w:pPr>
        <w:widowControl/>
        <w:ind w:firstLineChars="200" w:firstLine="600"/>
        <w:rPr>
          <w:rFonts w:ascii="仿宋_GB2312" w:eastAsia="仿宋_GB2312"/>
          <w:sz w:val="30"/>
          <w:szCs w:val="30"/>
        </w:rPr>
      </w:pPr>
      <m:oMathPara>
        <m:oMath>
          <m:sSub>
            <m:sSubPr>
              <m:ctrlPr>
                <w:rPr>
                  <w:rFonts w:ascii="Cambria Math" w:eastAsia="仿宋_GB2312" w:hAnsi="Cambria Math" w:cs="仿宋_GB2312" w:hint="eastAsia"/>
                  <w:color w:val="000000"/>
                  <w:kern w:val="0"/>
                  <w:sz w:val="30"/>
                  <w:szCs w:val="30"/>
                  <w:shd w:val="clear" w:color="auto" w:fill="FFFFFF"/>
                  <w:lang w:bidi="ar"/>
                </w:rPr>
              </m:ctrlPr>
            </m:sSubPr>
            <m:e>
              <m:r>
                <w:rPr>
                  <w:rFonts w:ascii="Cambria Math" w:eastAsia="仿宋_GB2312" w:hAnsi="Cambria Math" w:cs="仿宋_GB2312"/>
                  <w:color w:val="000000"/>
                  <w:kern w:val="0"/>
                  <w:sz w:val="30"/>
                  <w:szCs w:val="30"/>
                  <w:shd w:val="clear" w:color="auto" w:fill="FFFFFF"/>
                  <w:lang w:bidi="ar"/>
                </w:rPr>
                <m:t>ρ</m:t>
              </m:r>
            </m:e>
            <m:sub>
              <m:r>
                <w:rPr>
                  <w:rFonts w:ascii="Cambria Math" w:eastAsia="仿宋_GB2312" w:hAnsi="Cambria Math" w:cs="仿宋_GB2312"/>
                  <w:color w:val="000000"/>
                  <w:kern w:val="0"/>
                  <w:sz w:val="30"/>
                  <w:szCs w:val="30"/>
                  <w:shd w:val="clear" w:color="auto" w:fill="FFFFFF"/>
                  <w:lang w:bidi="ar"/>
                </w:rPr>
                <m:t>kl</m:t>
              </m:r>
            </m:sub>
          </m:sSub>
          <m:r>
            <w:rPr>
              <w:rFonts w:ascii="Cambria Math" w:eastAsia="仿宋_GB2312" w:hAnsi="Cambria Math" w:cs="仿宋_GB2312"/>
              <w:color w:val="000000"/>
              <w:kern w:val="0"/>
              <w:sz w:val="30"/>
              <w:szCs w:val="30"/>
              <w:shd w:val="clear" w:color="auto" w:fill="FFFFFF"/>
              <w:lang w:bidi="ar"/>
            </w:rPr>
            <m:t>=</m:t>
          </m:r>
          <m:r>
            <w:rPr>
              <w:rFonts w:ascii="Cambria Math" w:eastAsia="仿宋_GB2312" w:hAnsi="Cambria Math" w:cs="仿宋_GB2312"/>
              <w:color w:val="000000"/>
              <w:kern w:val="0"/>
              <w:sz w:val="30"/>
              <w:szCs w:val="30"/>
              <w:shd w:val="clear" w:color="auto" w:fill="FFFFFF"/>
              <w:lang w:bidi="ar"/>
            </w:rPr>
            <m:t>min</m:t>
          </m:r>
          <m:d>
            <m:dPr>
              <m:begChr m:val="["/>
              <m:endChr m:val="]"/>
              <m:ctrlPr>
                <w:rPr>
                  <w:rFonts w:ascii="Cambria Math" w:eastAsia="仿宋_GB2312" w:hAnsi="Cambria Math" w:cs="仿宋_GB2312" w:hint="eastAsia"/>
                  <w:i/>
                  <w:color w:val="000000"/>
                  <w:kern w:val="0"/>
                  <w:sz w:val="30"/>
                  <w:szCs w:val="30"/>
                  <w:shd w:val="clear" w:color="auto" w:fill="FFFFFF"/>
                  <w:lang w:bidi="ar"/>
                </w:rPr>
              </m:ctrlPr>
            </m:dPr>
            <m:e>
              <m:sSubSup>
                <m:sSubSupPr>
                  <m:ctrlPr>
                    <w:rPr>
                      <w:rFonts w:ascii="Cambria Math" w:eastAsia="仿宋_GB2312" w:hAnsi="Cambria Math" w:cs="仿宋_GB2312" w:hint="eastAsia"/>
                      <w:i/>
                      <w:color w:val="000000"/>
                      <w:kern w:val="0"/>
                      <w:sz w:val="30"/>
                      <w:szCs w:val="30"/>
                      <w:shd w:val="clear" w:color="auto" w:fill="FFFFFF"/>
                      <w:lang w:bidi="ar"/>
                    </w:rPr>
                  </m:ctrlPr>
                </m:sSubSupPr>
                <m:e>
                  <m:r>
                    <w:rPr>
                      <w:rFonts w:ascii="Cambria Math" w:eastAsia="仿宋_GB2312" w:hAnsi="Cambria Math" w:cs="仿宋_GB2312"/>
                      <w:color w:val="000000"/>
                      <w:kern w:val="0"/>
                      <w:sz w:val="30"/>
                      <w:szCs w:val="30"/>
                      <w:shd w:val="clear" w:color="auto" w:fill="FFFFFF"/>
                      <w:lang w:bidi="ar"/>
                    </w:rPr>
                    <m:t>ρ</m:t>
                  </m:r>
                </m:e>
                <m:sub>
                  <m:r>
                    <w:rPr>
                      <w:rFonts w:ascii="Cambria Math" w:eastAsia="仿宋_GB2312" w:hAnsi="Cambria Math" w:cs="仿宋_GB2312"/>
                      <w:color w:val="000000"/>
                      <w:kern w:val="0"/>
                      <w:sz w:val="30"/>
                      <w:szCs w:val="30"/>
                      <w:shd w:val="clear" w:color="auto" w:fill="FFFFFF"/>
                      <w:lang w:bidi="ar"/>
                    </w:rPr>
                    <m:t>kl</m:t>
                  </m:r>
                </m:sub>
                <m:sup>
                  <m:d>
                    <m:dPr>
                      <m:ctrlPr>
                        <w:rPr>
                          <w:rFonts w:ascii="Cambria Math" w:eastAsia="仿宋_GB2312" w:hAnsi="Cambria Math" w:cs="仿宋_GB2312" w:hint="eastAsia"/>
                          <w:i/>
                          <w:color w:val="000000"/>
                          <w:kern w:val="0"/>
                          <w:sz w:val="30"/>
                          <w:szCs w:val="30"/>
                          <w:shd w:val="clear" w:color="auto" w:fill="FFFFFF"/>
                          <w:lang w:bidi="ar"/>
                        </w:rPr>
                      </m:ctrlPr>
                    </m:dPr>
                    <m:e>
                      <m:r>
                        <w:rPr>
                          <w:rFonts w:ascii="Cambria Math" w:eastAsia="仿宋_GB2312" w:hAnsi="Cambria Math" w:cs="仿宋_GB2312"/>
                          <w:color w:val="000000"/>
                          <w:kern w:val="0"/>
                          <w:sz w:val="30"/>
                          <w:szCs w:val="30"/>
                          <w:shd w:val="clear" w:color="auto" w:fill="FFFFFF"/>
                          <w:lang w:bidi="ar"/>
                        </w:rPr>
                        <m:t>DELTA</m:t>
                      </m:r>
                    </m:e>
                  </m:d>
                </m:sup>
              </m:sSubSup>
              <m:r>
                <w:rPr>
                  <w:rFonts w:ascii="Cambria Math" w:eastAsia="仿宋_GB2312" w:hAnsi="Cambria Math" w:cs="仿宋_GB2312"/>
                  <w:color w:val="000000"/>
                  <w:kern w:val="0"/>
                  <w:sz w:val="30"/>
                  <w:szCs w:val="30"/>
                  <w:shd w:val="clear" w:color="auto" w:fill="FFFFFF"/>
                  <w:lang w:bidi="ar"/>
                </w:rPr>
                <m:t>×</m:t>
              </m:r>
              <m:sSubSup>
                <m:sSubSupPr>
                  <m:ctrlPr>
                    <w:rPr>
                      <w:rFonts w:ascii="Cambria Math" w:eastAsia="仿宋_GB2312" w:hAnsi="Cambria Math" w:cs="仿宋_GB2312" w:hint="eastAsia"/>
                      <w:i/>
                      <w:color w:val="000000"/>
                      <w:kern w:val="0"/>
                      <w:sz w:val="30"/>
                      <w:szCs w:val="30"/>
                      <w:shd w:val="clear" w:color="auto" w:fill="FFFFFF"/>
                      <w:lang w:bidi="ar"/>
                    </w:rPr>
                  </m:ctrlPr>
                </m:sSubSupPr>
                <m:e>
                  <m:r>
                    <w:rPr>
                      <w:rFonts w:ascii="Cambria Math" w:eastAsia="仿宋_GB2312" w:hAnsi="Cambria Math" w:cs="仿宋_GB2312"/>
                      <w:color w:val="000000"/>
                      <w:kern w:val="0"/>
                      <w:sz w:val="30"/>
                      <w:szCs w:val="30"/>
                      <w:shd w:val="clear" w:color="auto" w:fill="FFFFFF"/>
                      <w:lang w:bidi="ar"/>
                    </w:rPr>
                    <m:t>ρ</m:t>
                  </m:r>
                </m:e>
                <m:sub>
                  <m:r>
                    <w:rPr>
                      <w:rFonts w:ascii="Cambria Math" w:eastAsia="仿宋_GB2312" w:hAnsi="Cambria Math" w:cs="仿宋_GB2312"/>
                      <w:color w:val="000000"/>
                      <w:kern w:val="0"/>
                      <w:sz w:val="30"/>
                      <w:szCs w:val="30"/>
                      <w:shd w:val="clear" w:color="auto" w:fill="FFFFFF"/>
                      <w:lang w:bidi="ar"/>
                    </w:rPr>
                    <m:t>kl</m:t>
                  </m:r>
                </m:sub>
                <m:sup>
                  <m:r>
                    <w:rPr>
                      <w:rFonts w:ascii="Cambria Math" w:eastAsia="仿宋_GB2312" w:hAnsi="Cambria Math" w:cs="仿宋_GB2312"/>
                      <w:color w:val="000000"/>
                      <w:kern w:val="0"/>
                      <w:sz w:val="30"/>
                      <w:szCs w:val="30"/>
                      <w:shd w:val="clear" w:color="auto" w:fill="FFFFFF"/>
                      <w:lang w:bidi="ar"/>
                    </w:rPr>
                    <m:t>(</m:t>
                  </m:r>
                  <m:r>
                    <w:rPr>
                      <w:rFonts w:ascii="Cambria Math" w:eastAsia="仿宋_GB2312" w:hAnsi="Cambria Math" w:cs="仿宋_GB2312"/>
                      <w:color w:val="000000"/>
                      <w:kern w:val="0"/>
                      <w:sz w:val="30"/>
                      <w:szCs w:val="30"/>
                      <w:shd w:val="clear" w:color="auto" w:fill="FFFFFF"/>
                      <w:lang w:bidi="ar"/>
                    </w:rPr>
                    <m:t>option</m:t>
                  </m:r>
                  <m:r>
                    <w:rPr>
                      <w:rFonts w:ascii="Cambria Math" w:eastAsia="仿宋_GB2312" w:hAnsi="Cambria Math" w:cs="仿宋_GB2312"/>
                      <w:color w:val="000000"/>
                      <w:kern w:val="0"/>
                      <w:sz w:val="30"/>
                      <w:szCs w:val="30"/>
                      <w:shd w:val="clear" w:color="auto" w:fill="FFFFFF"/>
                      <w:lang w:bidi="ar"/>
                    </w:rPr>
                    <m:t xml:space="preserve"> </m:t>
                  </m:r>
                  <m:r>
                    <w:rPr>
                      <w:rFonts w:ascii="Cambria Math" w:eastAsia="仿宋_GB2312" w:hAnsi="Cambria Math" w:cs="仿宋_GB2312"/>
                      <w:color w:val="000000"/>
                      <w:kern w:val="0"/>
                      <w:sz w:val="30"/>
                      <w:szCs w:val="30"/>
                      <w:shd w:val="clear" w:color="auto" w:fill="FFFFFF"/>
                      <w:lang w:bidi="ar"/>
                    </w:rPr>
                    <m:t>maturity</m:t>
                  </m:r>
                  <m:r>
                    <w:rPr>
                      <w:rFonts w:ascii="Cambria Math" w:eastAsia="仿宋_GB2312" w:hAnsi="Cambria Math" w:cs="仿宋_GB2312"/>
                      <w:color w:val="000000"/>
                      <w:kern w:val="0"/>
                      <w:sz w:val="30"/>
                      <w:szCs w:val="30"/>
                      <w:shd w:val="clear" w:color="auto" w:fill="FFFFFF"/>
                      <w:lang w:bidi="ar"/>
                    </w:rPr>
                    <m:t>)</m:t>
                  </m:r>
                </m:sup>
              </m:sSubSup>
              <m:r>
                <w:rPr>
                  <w:rFonts w:ascii="Cambria Math" w:eastAsia="仿宋_GB2312" w:hAnsi="Cambria Math" w:cs="仿宋_GB2312"/>
                  <w:color w:val="000000"/>
                  <w:kern w:val="0"/>
                  <w:sz w:val="30"/>
                  <w:szCs w:val="30"/>
                  <w:shd w:val="clear" w:color="auto" w:fill="FFFFFF"/>
                  <w:lang w:bidi="ar"/>
                </w:rPr>
                <m:t>,1</m:t>
              </m:r>
            </m:e>
          </m:d>
        </m:oMath>
      </m:oMathPara>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其中：</w:t>
      </w:r>
    </w:p>
    <w:p w:rsidR="004165E8" w:rsidRDefault="00A108D9">
      <w:pPr>
        <w:widowControl/>
        <w:spacing w:line="600" w:lineRule="exact"/>
        <w:ind w:firstLineChars="200" w:firstLine="600"/>
        <w:rPr>
          <w:rFonts w:ascii="仿宋_GB2312" w:eastAsia="仿宋_GB2312"/>
          <w:sz w:val="30"/>
          <w:szCs w:val="30"/>
        </w:rPr>
      </w:pPr>
      <w:proofErr w:type="gramStart"/>
      <w:r>
        <w:rPr>
          <w:rFonts w:ascii="仿宋_GB2312" w:eastAsia="仿宋_GB2312"/>
          <w:sz w:val="30"/>
          <w:szCs w:val="30"/>
        </w:rPr>
        <w:t>a.</w:t>
      </w:r>
      <w:proofErr w:type="gramEnd"/>
      <w:r>
        <w:rPr>
          <w:position w:val="-12"/>
          <w:sz w:val="30"/>
          <w:szCs w:val="30"/>
        </w:rPr>
        <w:object w:dxaOrig="1000" w:dyaOrig="467">
          <v:shape id="_x0000_i1110" type="#_x0000_t75" style="width:49.9pt;height:23.5pt" o:ole="">
            <v:imagedata r:id="rId152" o:title=""/>
          </v:shape>
          <o:OLEObject Type="Embed" ProgID="Equation.DSMT4" ShapeID="_x0000_i1110" DrawAspect="Content" ObjectID="_1765373678" r:id="rId153"/>
        </w:object>
      </w:r>
      <w:r>
        <w:rPr>
          <w:rFonts w:ascii="仿宋_GB2312" w:eastAsia="仿宋_GB2312" w:hint="eastAsia"/>
          <w:sz w:val="30"/>
          <w:szCs w:val="30"/>
        </w:rPr>
        <w:t>是维伽风险因子与得尔塔风险因子的维度交集所对应的相关系数</w:t>
      </w:r>
      <w:r>
        <w:rPr>
          <w:position w:val="-12"/>
          <w:sz w:val="30"/>
          <w:szCs w:val="30"/>
        </w:rPr>
        <w:object w:dxaOrig="760" w:dyaOrig="387">
          <v:shape id="_x0000_i1111" type="#_x0000_t75" style="width:38.15pt;height:19.25pt" o:ole="">
            <v:imagedata r:id="rId126" o:title=""/>
          </v:shape>
          <o:OLEObject Type="Embed" ProgID="Equation.DSMT4" ShapeID="_x0000_i1111" DrawAspect="Content" ObjectID="_1765373679" r:id="rId154"/>
        </w:object>
      </w:r>
      <w:r>
        <w:rPr>
          <w:rFonts w:hint="eastAsia"/>
          <w:sz w:val="30"/>
          <w:szCs w:val="30"/>
        </w:rPr>
        <w:t>。</w:t>
      </w:r>
    </w:p>
    <w:p w:rsidR="004165E8" w:rsidRDefault="00A108D9">
      <w:pPr>
        <w:widowControl/>
        <w:ind w:firstLineChars="200" w:firstLine="600"/>
        <w:rPr>
          <w:rFonts w:eastAsia="仿宋_GB2312"/>
          <w:sz w:val="30"/>
          <w:szCs w:val="30"/>
        </w:rPr>
      </w:pPr>
      <w:proofErr w:type="gramStart"/>
      <w:r>
        <w:rPr>
          <w:rFonts w:ascii="仿宋_GB2312" w:eastAsia="仿宋_GB2312"/>
          <w:sz w:val="30"/>
          <w:szCs w:val="30"/>
        </w:rPr>
        <w:t>b.</w:t>
      </w:r>
      <w:proofErr w:type="gramEnd"/>
      <w:r>
        <w:rPr>
          <w:position w:val="-12"/>
          <w:sz w:val="30"/>
          <w:szCs w:val="30"/>
        </w:rPr>
        <w:object w:dxaOrig="1360" w:dyaOrig="387">
          <v:shape id="_x0000_i1112" type="#_x0000_t75" style="width:68.1pt;height:19.25pt" o:ole="">
            <v:imagedata r:id="rId155" o:title=""/>
          </v:shape>
          <o:OLEObject Type="Embed" ProgID="Equation.DSMT4" ShapeID="_x0000_i1112" DrawAspect="Content" ObjectID="_1765373680" r:id="rId156"/>
        </w:object>
      </w:r>
      <w:r>
        <w:rPr>
          <w:rFonts w:ascii="仿宋_GB2312" w:eastAsia="仿宋_GB2312" w:hint="eastAsia"/>
          <w:sz w:val="30"/>
          <w:szCs w:val="30"/>
        </w:rPr>
        <w:t>等于</w:t>
      </w:r>
      <m:oMath>
        <m:sSup>
          <m:sSupPr>
            <m:ctrlPr>
              <w:rPr>
                <w:rFonts w:ascii="DejaVu Math TeX Gyre" w:eastAsia="仿宋_GB2312" w:hAnsi="DejaVu Math TeX Gyre" w:cs="仿宋_GB2312"/>
                <w:color w:val="000000"/>
                <w:kern w:val="0"/>
                <w:sz w:val="30"/>
                <w:szCs w:val="30"/>
                <w:shd w:val="clear" w:color="auto" w:fill="FFFFFF"/>
                <w:lang w:bidi="ar"/>
              </w:rPr>
            </m:ctrlPr>
          </m:sSupPr>
          <m:e>
            <m:r>
              <w:rPr>
                <w:rFonts w:ascii="DejaVu Math TeX Gyre" w:eastAsia="仿宋_GB2312" w:hAnsi="DejaVu Math TeX Gyre" w:cs="仿宋_GB2312" w:hint="eastAsia"/>
                <w:color w:val="000000"/>
                <w:kern w:val="0"/>
                <w:sz w:val="30"/>
                <w:szCs w:val="30"/>
                <w:shd w:val="clear" w:color="auto" w:fill="FFFFFF"/>
                <w:lang w:bidi="ar"/>
              </w:rPr>
              <m:t>e</m:t>
            </m:r>
          </m:e>
          <m:sup>
            <m:r>
              <w:rPr>
                <w:rFonts w:ascii="DejaVu Math TeX Gyre" w:eastAsia="MS Mincho" w:hAnsi="DejaVu Math TeX Gyre" w:cs="MS Mincho" w:hint="eastAsia"/>
                <w:color w:val="000000"/>
                <w:kern w:val="0"/>
                <w:sz w:val="30"/>
                <w:szCs w:val="30"/>
                <w:shd w:val="clear" w:color="auto" w:fill="FFFFFF"/>
                <w:lang w:bidi="ar"/>
              </w:rPr>
              <m:t>-</m:t>
            </m:r>
            <m:r>
              <w:rPr>
                <w:rFonts w:ascii="DejaVu Math TeX Gyre" w:eastAsia="仿宋_GB2312" w:hAnsi="DejaVu Math TeX Gyre" w:cs="仿宋_GB2312"/>
                <w:color w:val="000000"/>
                <w:kern w:val="0"/>
                <w:sz w:val="30"/>
                <w:szCs w:val="30"/>
                <w:shd w:val="clear" w:color="auto" w:fill="FFFFFF"/>
                <w:lang w:bidi="ar"/>
              </w:rPr>
              <m:t>α</m:t>
            </m:r>
            <m:r>
              <w:rPr>
                <w:rFonts w:ascii="DejaVu Math TeX Gyre" w:eastAsia="仿宋_GB2312" w:hAnsi="DejaVu Math TeX Gyre" w:cs="仿宋_GB2312"/>
                <w:color w:val="000000"/>
                <w:kern w:val="0"/>
                <w:sz w:val="30"/>
                <w:szCs w:val="30"/>
                <w:shd w:val="clear" w:color="auto" w:fill="FFFFFF"/>
                <w:lang w:bidi="ar"/>
              </w:rPr>
              <m:t>∙</m:t>
            </m:r>
            <m:f>
              <m:fPr>
                <m:ctrlPr>
                  <w:rPr>
                    <w:rFonts w:ascii="DejaVu Math TeX Gyre" w:eastAsia="仿宋_GB2312" w:hAnsi="DejaVu Math TeX Gyre" w:cs="仿宋_GB2312"/>
                    <w:i/>
                    <w:color w:val="000000"/>
                    <w:kern w:val="0"/>
                    <w:sz w:val="30"/>
                    <w:szCs w:val="30"/>
                    <w:shd w:val="clear" w:color="auto" w:fill="FFFFFF"/>
                    <w:lang w:bidi="ar"/>
                  </w:rPr>
                </m:ctrlPr>
              </m:fPr>
              <m:num>
                <m:d>
                  <m:dPr>
                    <m:begChr m:val="|"/>
                    <m:endChr m:val="|"/>
                    <m:ctrlPr>
                      <w:rPr>
                        <w:rFonts w:ascii="DejaVu Math TeX Gyre" w:eastAsia="仿宋_GB2312" w:hAnsi="DejaVu Math TeX Gyre" w:cs="仿宋_GB2312"/>
                        <w:i/>
                        <w:color w:val="000000"/>
                        <w:kern w:val="0"/>
                        <w:sz w:val="30"/>
                        <w:szCs w:val="30"/>
                        <w:shd w:val="clear" w:color="auto" w:fill="FFFFFF"/>
                        <w:lang w:bidi="ar"/>
                      </w:rPr>
                    </m:ctrlPr>
                  </m:dPr>
                  <m:e>
                    <m:sSub>
                      <m:sSubPr>
                        <m:ctrlPr>
                          <w:rPr>
                            <w:rFonts w:ascii="DejaVu Math TeX Gyre" w:eastAsia="仿宋_GB2312" w:hAnsi="DejaVu Math TeX Gyre" w:cs="仿宋_GB2312"/>
                            <w:i/>
                            <w:color w:val="000000"/>
                            <w:kern w:val="0"/>
                            <w:sz w:val="30"/>
                            <w:szCs w:val="30"/>
                            <w:shd w:val="clear" w:color="auto" w:fill="FFFFFF"/>
                            <w:lang w:bidi="ar"/>
                          </w:rPr>
                        </m:ctrlPr>
                      </m:sSubPr>
                      <m:e>
                        <m:r>
                          <w:rPr>
                            <w:rFonts w:ascii="DejaVu Math TeX Gyre" w:eastAsia="仿宋_GB2312" w:hAnsi="DejaVu Math TeX Gyre" w:cs="仿宋_GB2312" w:hint="eastAsia"/>
                            <w:color w:val="000000"/>
                            <w:kern w:val="0"/>
                            <w:sz w:val="30"/>
                            <w:szCs w:val="30"/>
                            <w:shd w:val="clear" w:color="auto" w:fill="FFFFFF"/>
                            <w:lang w:bidi="ar"/>
                          </w:rPr>
                          <m:t>T</m:t>
                        </m:r>
                      </m:e>
                      <m:sub>
                        <m:r>
                          <w:rPr>
                            <w:rFonts w:ascii="DejaVu Math TeX Gyre" w:eastAsia="仿宋_GB2312" w:hAnsi="DejaVu Math TeX Gyre" w:cs="仿宋_GB2312" w:hint="eastAsia"/>
                            <w:color w:val="000000"/>
                            <w:kern w:val="0"/>
                            <w:sz w:val="30"/>
                            <w:szCs w:val="30"/>
                            <w:shd w:val="clear" w:color="auto" w:fill="FFFFFF"/>
                            <w:lang w:bidi="ar"/>
                          </w:rPr>
                          <m:t>k</m:t>
                        </m:r>
                      </m:sub>
                    </m:sSub>
                    <m:r>
                      <w:rPr>
                        <w:rFonts w:ascii="DejaVu Math TeX Gyre" w:eastAsia="MS Mincho" w:hAnsi="DejaVu Math TeX Gyre" w:cs="MS Mincho" w:hint="eastAsia"/>
                        <w:color w:val="000000"/>
                        <w:kern w:val="0"/>
                        <w:sz w:val="30"/>
                        <w:szCs w:val="30"/>
                        <w:shd w:val="clear" w:color="auto" w:fill="FFFFFF"/>
                        <w:lang w:bidi="ar"/>
                      </w:rPr>
                      <m:t>-</m:t>
                    </m:r>
                    <m:sSub>
                      <m:sSubPr>
                        <m:ctrlPr>
                          <w:rPr>
                            <w:rFonts w:ascii="DejaVu Math TeX Gyre" w:eastAsia="MS Mincho" w:hAnsi="DejaVu Math TeX Gyre" w:cs="MS Mincho"/>
                            <w:i/>
                            <w:color w:val="000000"/>
                            <w:kern w:val="0"/>
                            <w:sz w:val="30"/>
                            <w:szCs w:val="30"/>
                            <w:shd w:val="clear" w:color="auto" w:fill="FFFFFF"/>
                            <w:lang w:bidi="ar"/>
                          </w:rPr>
                        </m:ctrlPr>
                      </m:sSubPr>
                      <m:e>
                        <m:r>
                          <w:rPr>
                            <w:rFonts w:ascii="DejaVu Math TeX Gyre" w:eastAsiaTheme="minorEastAsia" w:hAnsi="DejaVu Math TeX Gyre" w:cs="MS Mincho" w:hint="eastAsia"/>
                            <w:color w:val="000000"/>
                            <w:kern w:val="0"/>
                            <w:sz w:val="30"/>
                            <w:szCs w:val="30"/>
                            <w:shd w:val="clear" w:color="auto" w:fill="FFFFFF"/>
                            <w:lang w:bidi="ar"/>
                          </w:rPr>
                          <m:t>T</m:t>
                        </m:r>
                      </m:e>
                      <m:sub>
                        <m:r>
                          <w:rPr>
                            <w:rFonts w:ascii="DejaVu Math TeX Gyre" w:eastAsiaTheme="minorEastAsia" w:hAnsi="DejaVu Math TeX Gyre" w:cs="MS Mincho" w:hint="eastAsia"/>
                            <w:color w:val="000000"/>
                            <w:kern w:val="0"/>
                            <w:sz w:val="30"/>
                            <w:szCs w:val="30"/>
                            <w:shd w:val="clear" w:color="auto" w:fill="FFFFFF"/>
                            <w:lang w:bidi="ar"/>
                          </w:rPr>
                          <m:t>l</m:t>
                        </m:r>
                      </m:sub>
                    </m:sSub>
                  </m:e>
                </m:d>
              </m:num>
              <m:den>
                <m:r>
                  <m:rPr>
                    <m:sty m:val="p"/>
                  </m:rPr>
                  <w:rPr>
                    <w:rFonts w:ascii="DejaVu Math TeX Gyre" w:eastAsia="仿宋_GB2312" w:hAnsi="DejaVu Math TeX Gyre" w:cs="仿宋_GB2312"/>
                    <w:color w:val="000000"/>
                    <w:kern w:val="0"/>
                    <w:sz w:val="30"/>
                    <w:szCs w:val="30"/>
                    <w:shd w:val="clear" w:color="auto" w:fill="FFFFFF"/>
                    <w:lang w:bidi="ar"/>
                  </w:rPr>
                  <m:t>min⁡</m:t>
                </m:r>
                <m:r>
                  <w:rPr>
                    <w:rFonts w:ascii="DejaVu Math TeX Gyre" w:eastAsia="仿宋_GB2312" w:hAnsi="DejaVu Math TeX Gyre" w:cs="仿宋_GB2312" w:hint="eastAsia"/>
                    <w:color w:val="000000"/>
                    <w:kern w:val="0"/>
                    <w:sz w:val="30"/>
                    <w:szCs w:val="30"/>
                    <w:shd w:val="clear" w:color="auto" w:fill="FFFFFF"/>
                    <w:lang w:bidi="ar"/>
                  </w:rPr>
                  <m:t>（</m:t>
                </m:r>
                <m:sSub>
                  <m:sSubPr>
                    <m:ctrlPr>
                      <w:rPr>
                        <w:rFonts w:ascii="DejaVu Math TeX Gyre" w:eastAsia="仿宋_GB2312" w:hAnsi="DejaVu Math TeX Gyre" w:cs="仿宋_GB2312"/>
                        <w:i/>
                        <w:color w:val="000000"/>
                        <w:kern w:val="0"/>
                        <w:sz w:val="30"/>
                        <w:szCs w:val="30"/>
                        <w:shd w:val="clear" w:color="auto" w:fill="FFFFFF"/>
                        <w:lang w:bidi="ar"/>
                      </w:rPr>
                    </m:ctrlPr>
                  </m:sSubPr>
                  <m:e>
                    <m:r>
                      <w:rPr>
                        <w:rFonts w:ascii="DejaVu Math TeX Gyre" w:eastAsia="仿宋_GB2312" w:hAnsi="DejaVu Math TeX Gyre" w:cs="仿宋_GB2312" w:hint="eastAsia"/>
                        <w:color w:val="000000"/>
                        <w:kern w:val="0"/>
                        <w:sz w:val="30"/>
                        <w:szCs w:val="30"/>
                        <w:shd w:val="clear" w:color="auto" w:fill="FFFFFF"/>
                        <w:lang w:bidi="ar"/>
                      </w:rPr>
                      <m:t>T</m:t>
                    </m:r>
                  </m:e>
                  <m:sub>
                    <m:r>
                      <w:rPr>
                        <w:rFonts w:ascii="DejaVu Math TeX Gyre" w:eastAsia="仿宋_GB2312" w:hAnsi="DejaVu Math TeX Gyre" w:cs="仿宋_GB2312" w:hint="eastAsia"/>
                        <w:color w:val="000000"/>
                        <w:kern w:val="0"/>
                        <w:sz w:val="30"/>
                        <w:szCs w:val="30"/>
                        <w:shd w:val="clear" w:color="auto" w:fill="FFFFFF"/>
                        <w:lang w:bidi="ar"/>
                      </w:rPr>
                      <m:t>k</m:t>
                    </m:r>
                  </m:sub>
                </m:sSub>
                <m:r>
                  <w:rPr>
                    <w:rFonts w:ascii="DejaVu Math TeX Gyre" w:eastAsia="仿宋_GB2312" w:hAnsi="DejaVu Math TeX Gyre" w:cs="仿宋_GB2312" w:hint="eastAsia"/>
                    <w:color w:val="000000"/>
                    <w:kern w:val="0"/>
                    <w:sz w:val="30"/>
                    <w:szCs w:val="30"/>
                    <w:shd w:val="clear" w:color="auto" w:fill="FFFFFF"/>
                    <w:lang w:bidi="ar"/>
                  </w:rPr>
                  <m:t>，</m:t>
                </m:r>
                <m:sSub>
                  <m:sSubPr>
                    <m:ctrlPr>
                      <w:rPr>
                        <w:rFonts w:ascii="DejaVu Math TeX Gyre" w:eastAsia="仿宋_GB2312" w:hAnsi="DejaVu Math TeX Gyre" w:cs="仿宋_GB2312"/>
                        <w:i/>
                        <w:color w:val="000000"/>
                        <w:kern w:val="0"/>
                        <w:sz w:val="30"/>
                        <w:szCs w:val="30"/>
                        <w:shd w:val="clear" w:color="auto" w:fill="FFFFFF"/>
                        <w:lang w:bidi="ar"/>
                      </w:rPr>
                    </m:ctrlPr>
                  </m:sSubPr>
                  <m:e>
                    <m:r>
                      <w:rPr>
                        <w:rFonts w:ascii="DejaVu Math TeX Gyre" w:eastAsia="仿宋_GB2312" w:hAnsi="DejaVu Math TeX Gyre" w:cs="仿宋_GB2312" w:hint="eastAsia"/>
                        <w:color w:val="000000"/>
                        <w:kern w:val="0"/>
                        <w:sz w:val="30"/>
                        <w:szCs w:val="30"/>
                        <w:shd w:val="clear" w:color="auto" w:fill="FFFFFF"/>
                        <w:lang w:bidi="ar"/>
                      </w:rPr>
                      <m:t>T</m:t>
                    </m:r>
                  </m:e>
                  <m:sub>
                    <m:r>
                      <w:rPr>
                        <w:rFonts w:ascii="DejaVu Math TeX Gyre" w:eastAsia="仿宋_GB2312" w:hAnsi="DejaVu Math TeX Gyre" w:cs="仿宋_GB2312" w:hint="eastAsia"/>
                        <w:color w:val="000000"/>
                        <w:kern w:val="0"/>
                        <w:sz w:val="30"/>
                        <w:szCs w:val="30"/>
                        <w:shd w:val="clear" w:color="auto" w:fill="FFFFFF"/>
                        <w:lang w:bidi="ar"/>
                      </w:rPr>
                      <m:t>l</m:t>
                    </m:r>
                  </m:sub>
                </m:sSub>
                <m:r>
                  <w:rPr>
                    <w:rFonts w:ascii="DejaVu Math TeX Gyre" w:eastAsia="仿宋_GB2312" w:hAnsi="DejaVu Math TeX Gyre" w:cs="仿宋_GB2312" w:hint="eastAsia"/>
                    <w:color w:val="000000"/>
                    <w:kern w:val="0"/>
                    <w:sz w:val="30"/>
                    <w:szCs w:val="30"/>
                    <w:shd w:val="clear" w:color="auto" w:fill="FFFFFF"/>
                    <w:lang w:bidi="ar"/>
                  </w:rPr>
                  <m:t>）</m:t>
                </m:r>
              </m:den>
            </m:f>
          </m:sup>
        </m:sSup>
      </m:oMath>
      <w:r>
        <w:rPr>
          <w:rFonts w:ascii="仿宋_GB2312" w:eastAsia="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sz w:val="30"/>
          <w:szCs w:val="30"/>
        </w:rPr>
        <w:t>α</w:t>
      </w:r>
      <w:r>
        <w:rPr>
          <w:rFonts w:ascii="仿宋_GB2312" w:eastAsia="仿宋_GB2312" w:hint="eastAsia"/>
          <w:sz w:val="30"/>
          <w:szCs w:val="30"/>
        </w:rPr>
        <w:t>为</w:t>
      </w:r>
      <w:r>
        <w:rPr>
          <w:rFonts w:ascii="仿宋_GB2312" w:eastAsia="仿宋_GB2312" w:hint="eastAsia"/>
          <w:sz w:val="30"/>
          <w:szCs w:val="30"/>
        </w:rPr>
        <w:t>1%</w:t>
      </w:r>
      <w:r>
        <w:rPr>
          <w:rFonts w:ascii="仿宋_GB2312" w:eastAsia="仿宋_GB2312" w:hint="eastAsia"/>
          <w:sz w:val="30"/>
          <w:szCs w:val="30"/>
        </w:rPr>
        <w:t>。</w:t>
      </w:r>
    </w:p>
    <w:p w:rsidR="004165E8" w:rsidRDefault="00A108D9">
      <w:pPr>
        <w:widowControl/>
        <w:spacing w:line="720" w:lineRule="exact"/>
        <w:ind w:firstLineChars="200" w:firstLine="600"/>
        <w:rPr>
          <w:rFonts w:ascii="仿宋_GB2312" w:eastAsia="仿宋_GB2312"/>
          <w:sz w:val="30"/>
          <w:szCs w:val="30"/>
        </w:rPr>
      </w:pPr>
      <w:proofErr w:type="gramStart"/>
      <w:r>
        <w:rPr>
          <w:rFonts w:ascii="仿宋_GB2312" w:eastAsia="仿宋_GB2312"/>
          <w:sz w:val="30"/>
          <w:szCs w:val="30"/>
        </w:rPr>
        <w:t>d.</w:t>
      </w:r>
      <w:proofErr w:type="gramEnd"/>
      <w:r>
        <w:rPr>
          <w:position w:val="-12"/>
          <w:sz w:val="30"/>
          <w:szCs w:val="30"/>
        </w:rPr>
        <w:object w:dxaOrig="280" w:dyaOrig="333">
          <v:shape id="_x0000_i1113" type="#_x0000_t75" style="width:13.9pt;height:16.75pt" o:ole="">
            <v:imagedata r:id="rId108" o:title=""/>
          </v:shape>
          <o:OLEObject Type="Embed" ProgID="Equation.DSMT4" ShapeID="_x0000_i1113" DrawAspect="Content" ObjectID="_1765373681" r:id="rId157"/>
        </w:object>
      </w:r>
      <w:r>
        <w:rPr>
          <w:rFonts w:ascii="仿宋_GB2312" w:eastAsia="仿宋_GB2312" w:hint="eastAsia"/>
          <w:sz w:val="30"/>
          <w:szCs w:val="30"/>
        </w:rPr>
        <w:t>（或</w:t>
      </w:r>
      <w:r>
        <w:rPr>
          <w:position w:val="-12"/>
          <w:sz w:val="30"/>
          <w:szCs w:val="30"/>
        </w:rPr>
        <w:object w:dxaOrig="280" w:dyaOrig="333">
          <v:shape id="_x0000_i1114" type="#_x0000_t75" style="width:13.9pt;height:16.75pt" o:ole="">
            <v:imagedata r:id="rId110" o:title=""/>
          </v:shape>
          <o:OLEObject Type="Embed" ProgID="Equation.DSMT4" ShapeID="_x0000_i1114" DrawAspect="Content" ObjectID="_1765373682" r:id="rId158"/>
        </w:object>
      </w:r>
      <w:r>
        <w:rPr>
          <w:rFonts w:ascii="仿宋_GB2312" w:eastAsia="仿宋_GB2312" w:hint="eastAsia"/>
          <w:sz w:val="30"/>
          <w:szCs w:val="30"/>
        </w:rPr>
        <w:t>）是维</w:t>
      </w:r>
      <w:r>
        <w:rPr>
          <w:rFonts w:ascii="仿宋_GB2312" w:eastAsia="仿宋_GB2312" w:hint="eastAsia"/>
          <w:sz w:val="30"/>
          <w:szCs w:val="30"/>
          <w:shd w:val="clear" w:color="auto" w:fill="FFFFFF" w:themeFill="background1"/>
        </w:rPr>
        <w:t>伽</w:t>
      </w:r>
      <w:r>
        <w:rPr>
          <w:rFonts w:ascii="仿宋_GB2312" w:eastAsia="仿宋_GB2312" w:hint="eastAsia"/>
          <w:sz w:val="30"/>
          <w:szCs w:val="30"/>
        </w:rPr>
        <w:t>敏感度对应的期权剩余期限，以年为单位。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）曲度敏感度的风险权重是给定风险因子的冲击幅度，等于对应的得尔塔风险权重。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9</w:t>
      </w:r>
      <w:r>
        <w:rPr>
          <w:rFonts w:ascii="仿宋_GB2312" w:eastAsia="仿宋_GB2312" w:cs="仿宋_GB2312" w:hint="eastAsia"/>
          <w:color w:val="000000"/>
          <w:kern w:val="0"/>
          <w:sz w:val="30"/>
          <w:szCs w:val="30"/>
          <w:shd w:val="clear" w:color="auto" w:fill="FFFFFF"/>
          <w:lang w:bidi="ar"/>
        </w:rPr>
        <w:t>）计算曲度敏感度风险头寸时，若发行人相同，则风险组内相关系数</w:t>
      </w:r>
      <w:r>
        <w:rPr>
          <w:position w:val="-14"/>
          <w:sz w:val="30"/>
          <w:szCs w:val="30"/>
        </w:rPr>
        <w:object w:dxaOrig="387" w:dyaOrig="387">
          <v:shape id="_x0000_i1115" type="#_x0000_t75" style="width:19.25pt;height:19.25pt" o:ole="">
            <v:imagedata r:id="rId59" o:title=""/>
          </v:shape>
          <o:OLEObject Type="Embed" ProgID="Equation.DSMT4" ShapeID="_x0000_i1115" DrawAspect="Content" ObjectID="_1765373683" r:id="rId159"/>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position w:val="-12"/>
          <w:sz w:val="30"/>
          <w:szCs w:val="30"/>
        </w:rPr>
        <w:object w:dxaOrig="760" w:dyaOrig="387">
          <v:shape id="_x0000_i1116" type="#_x0000_t75" style="width:38.15pt;height:19.25pt" o:ole="">
            <v:imagedata r:id="rId126" o:title=""/>
          </v:shape>
          <o:OLEObject Type="Embed" ProgID="Equation.DSMT4" ShapeID="_x0000_i1116" DrawAspect="Content" ObjectID="_1765373684" r:id="rId160"/>
        </w:object>
      </w:r>
      <w:r>
        <w:rPr>
          <w:rFonts w:ascii="仿宋_GB2312" w:eastAsia="仿宋_GB2312" w:cs="仿宋_GB2312" w:hint="eastAsia"/>
          <w:color w:val="000000"/>
          <w:kern w:val="0"/>
          <w:sz w:val="30"/>
          <w:szCs w:val="30"/>
          <w:shd w:val="clear" w:color="auto" w:fill="FFFFFF"/>
          <w:lang w:bidi="ar"/>
        </w:rPr>
        <w:t>的平方</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10</w:t>
      </w:r>
      <w:r>
        <w:rPr>
          <w:rFonts w:ascii="仿宋_GB2312" w:eastAsia="仿宋_GB2312" w:cs="仿宋_GB2312" w:hint="eastAsia"/>
          <w:color w:val="000000"/>
          <w:kern w:val="0"/>
          <w:sz w:val="30"/>
          <w:szCs w:val="30"/>
          <w:shd w:val="clear" w:color="auto" w:fill="FFFFFF"/>
          <w:lang w:bidi="ar"/>
        </w:rPr>
        <w:t>）计算曲度敏感度资本要求时，风险组间相关系数</w:t>
      </w:r>
      <w:r>
        <w:rPr>
          <w:position w:val="-12"/>
          <w:sz w:val="30"/>
          <w:szCs w:val="30"/>
        </w:rPr>
        <w:object w:dxaOrig="333" w:dyaOrig="333">
          <v:shape id="_x0000_i1117" type="#_x0000_t75" style="width:16.75pt;height:16.75pt" o:ole="">
            <v:imagedata r:id="rId18" o:title=""/>
          </v:shape>
          <o:OLEObject Type="Embed" ProgID="Equation.DSMT4" ShapeID="_x0000_i1117" DrawAspect="Content" ObjectID="_1765373685" r:id="rId161"/>
        </w:object>
      </w:r>
      <w:r>
        <w:rPr>
          <w:rFonts w:ascii="仿宋_GB2312" w:eastAsia="仿宋_GB2312" w:cs="仿宋_GB2312" w:hint="eastAsia"/>
          <w:color w:val="000000"/>
          <w:kern w:val="0"/>
          <w:sz w:val="30"/>
          <w:szCs w:val="30"/>
          <w:shd w:val="clear" w:color="auto" w:fill="FFFFFF"/>
          <w:lang w:bidi="ar"/>
        </w:rPr>
        <w:t>为对应的得尔塔相关系数</w:t>
      </w:r>
      <w:r>
        <w:rPr>
          <w:position w:val="-12"/>
          <w:sz w:val="30"/>
          <w:szCs w:val="30"/>
        </w:rPr>
        <w:object w:dxaOrig="333" w:dyaOrig="333">
          <v:shape id="_x0000_i1118" type="#_x0000_t75" style="width:16.75pt;height:16.75pt" o:ole="">
            <v:imagedata r:id="rId18" o:title=""/>
          </v:shape>
          <o:OLEObject Type="Embed" ProgID="Equation.DSMT4" ShapeID="_x0000_i1118" DrawAspect="Content" ObjectID="_1765373686" r:id="rId162"/>
        </w:object>
      </w:r>
      <w:r>
        <w:rPr>
          <w:rFonts w:ascii="仿宋_GB2312" w:eastAsia="仿宋_GB2312" w:cs="仿宋_GB2312" w:hint="eastAsia"/>
          <w:color w:val="000000"/>
          <w:kern w:val="0"/>
          <w:sz w:val="30"/>
          <w:szCs w:val="30"/>
          <w:shd w:val="clear" w:color="auto" w:fill="FFFFFF"/>
          <w:lang w:bidi="ar"/>
        </w:rPr>
        <w:t>的平方。</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（六）非相关性交易组合证券化信用利差风险</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风险因子</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1</w:t>
      </w:r>
      <w:r>
        <w:rPr>
          <w:rFonts w:ascii="仿宋_GB2312" w:eastAsia="仿宋_GB2312" w:hint="eastAsia"/>
          <w:sz w:val="30"/>
          <w:szCs w:val="30"/>
        </w:rPr>
        <w:t>）非相关性交易组合证券化工具是指不满足本办法附件</w:t>
      </w:r>
      <w:r>
        <w:rPr>
          <w:rFonts w:ascii="仿宋_GB2312" w:eastAsia="仿宋_GB2312"/>
          <w:sz w:val="30"/>
          <w:szCs w:val="30"/>
        </w:rPr>
        <w:t>13</w:t>
      </w:r>
      <w:r>
        <w:rPr>
          <w:rFonts w:ascii="仿宋_GB2312" w:eastAsia="仿宋_GB2312" w:hint="eastAsia"/>
          <w:sz w:val="30"/>
          <w:szCs w:val="30"/>
        </w:rPr>
        <w:t>第一部分（三）中相关性交易组合定义的证券化工具，其得尔塔风险因子由证券化工具各层级的信用利差曲线（债券和</w:t>
      </w:r>
      <w:r>
        <w:rPr>
          <w:rFonts w:ascii="仿宋_GB2312" w:eastAsia="仿宋_GB2312" w:hint="eastAsia"/>
          <w:sz w:val="30"/>
          <w:szCs w:val="30"/>
        </w:rPr>
        <w:t>CDS</w:t>
      </w:r>
      <w:r>
        <w:rPr>
          <w:rFonts w:ascii="仿宋_GB2312" w:eastAsia="仿宋_GB2312" w:hint="eastAsia"/>
          <w:sz w:val="30"/>
          <w:szCs w:val="30"/>
        </w:rPr>
        <w:t>）和期限确定。期限为</w:t>
      </w:r>
      <w:r>
        <w:rPr>
          <w:rFonts w:ascii="仿宋_GB2312" w:eastAsia="仿宋_GB2312" w:hint="eastAsia"/>
          <w:sz w:val="30"/>
          <w:szCs w:val="30"/>
        </w:rPr>
        <w:t>0.5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因子是基于期权剩余期限的期权隐含波动率。期权的基础资产是非</w:t>
      </w:r>
      <w:r>
        <w:rPr>
          <w:rFonts w:ascii="仿宋_GB2312" w:eastAsia="仿宋_GB2312" w:cs="仿宋_GB2312" w:hint="eastAsia"/>
          <w:color w:val="000000"/>
          <w:kern w:val="0"/>
          <w:sz w:val="30"/>
          <w:szCs w:val="30"/>
          <w:shd w:val="clear" w:color="auto" w:fill="FFFFFF"/>
          <w:lang w:bidi="ar"/>
        </w:rPr>
        <w:t>相关性交易组合信用利差相关的证券化工具</w:t>
      </w:r>
      <w:r>
        <w:rPr>
          <w:rFonts w:ascii="仿宋_GB2312" w:eastAsia="仿宋_GB2312" w:hint="eastAsia"/>
          <w:sz w:val="30"/>
          <w:szCs w:val="30"/>
        </w:rPr>
        <w:t>。期限为</w:t>
      </w:r>
      <w:r>
        <w:rPr>
          <w:rFonts w:ascii="仿宋_GB2312" w:eastAsia="仿宋_GB2312"/>
          <w:sz w:val="30"/>
          <w:szCs w:val="30"/>
        </w:rPr>
        <w:t>0.</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）曲度风险因子是分层级的信用利差曲线。</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敏感度</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）得尔塔敏感度与</w:t>
      </w:r>
      <w:r>
        <w:rPr>
          <w:rFonts w:ascii="仿宋_GB2312" w:eastAsia="仿宋_GB2312" w:hint="eastAsia"/>
          <w:sz w:val="30"/>
          <w:szCs w:val="30"/>
        </w:rPr>
        <w:t>非证券化信用利差风险得尔塔敏感度计算方式一致，详见本附件第二部分（五）</w:t>
      </w:r>
      <w:r>
        <w:rPr>
          <w:rFonts w:ascii="仿宋_GB2312" w:eastAsia="仿宋_GB2312"/>
          <w:sz w:val="30"/>
          <w:szCs w:val="30"/>
        </w:rPr>
        <w:t>2</w:t>
      </w:r>
      <w:r>
        <w:rPr>
          <w:rFonts w:ascii="仿宋_GB2312" w:eastAsia="仿宋_GB2312" w:hint="eastAsia"/>
          <w:sz w:val="30"/>
          <w:szCs w:val="30"/>
        </w:rPr>
        <w:t>。敏感度应基于对应证券化层级的利差，而</w:t>
      </w:r>
      <w:proofErr w:type="gramStart"/>
      <w:r>
        <w:rPr>
          <w:rFonts w:ascii="仿宋_GB2312" w:eastAsia="仿宋_GB2312" w:hint="eastAsia"/>
          <w:sz w:val="30"/>
          <w:szCs w:val="30"/>
        </w:rPr>
        <w:t>非基础</w:t>
      </w:r>
      <w:proofErr w:type="gramEnd"/>
      <w:r>
        <w:rPr>
          <w:rFonts w:ascii="仿宋_GB2312" w:eastAsia="仿宋_GB2312" w:hint="eastAsia"/>
          <w:sz w:val="30"/>
          <w:szCs w:val="30"/>
        </w:rPr>
        <w:t>资产的利差。</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维伽敏感度</w:t>
      </w:r>
      <w:proofErr w:type="gramEnd"/>
      <w:r>
        <w:rPr>
          <w:rFonts w:ascii="仿宋_GB2312" w:eastAsia="仿宋_GB2312" w:cs="仿宋_GB2312" w:hint="eastAsia"/>
          <w:color w:val="000000"/>
          <w:kern w:val="0"/>
          <w:sz w:val="30"/>
          <w:szCs w:val="30"/>
          <w:shd w:val="clear" w:color="auto" w:fill="FFFFFF"/>
          <w:lang w:bidi="ar"/>
        </w:rPr>
        <w:t>的计算详见</w:t>
      </w:r>
      <w:r>
        <w:rPr>
          <w:rFonts w:ascii="仿宋_GB2312" w:eastAsia="仿宋_GB2312" w:hint="eastAsia"/>
          <w:sz w:val="30"/>
          <w:szCs w:val="30"/>
        </w:rPr>
        <w:t>本附件第二部分（四）</w:t>
      </w:r>
      <w:r>
        <w:rPr>
          <w:rFonts w:ascii="仿宋_GB2312" w:eastAsia="仿宋_GB2312"/>
          <w:sz w:val="30"/>
          <w:szCs w:val="30"/>
        </w:rPr>
        <w:t>2</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）曲度敏感度的计算详见本附件第二部分（二）。</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3</w:t>
      </w:r>
      <w:r>
        <w:rPr>
          <w:rFonts w:ascii="仿宋_GB2312" w:eastAsia="仿宋_GB2312" w:hAnsi="黑体" w:hint="eastAsia"/>
          <w:bCs/>
          <w:sz w:val="30"/>
          <w:szCs w:val="30"/>
        </w:rPr>
        <w:t>.</w:t>
      </w:r>
      <w:r>
        <w:rPr>
          <w:rFonts w:ascii="仿宋_GB2312" w:eastAsia="仿宋_GB2312" w:hAnsi="黑体"/>
          <w:bCs/>
          <w:sz w:val="30"/>
          <w:szCs w:val="30"/>
        </w:rPr>
        <w:t>风险组、风险权重、相关系数</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）非相关性交易组合证券化信用利差风险组以信用水平和资产类型维度划分，如表</w:t>
      </w:r>
      <w:r>
        <w:rPr>
          <w:rFonts w:ascii="仿宋_GB2312" w:eastAsia="仿宋_GB2312" w:cs="仿宋_GB2312"/>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所示。商业银行应将风险暴露划分到对应的风险组。其中，投资级别、高收益的认定应符合本办法附件</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的要求。</w:t>
      </w:r>
      <w:r>
        <w:rPr>
          <w:rFonts w:ascii="仿宋_GB2312" w:eastAsia="仿宋_GB2312" w:cs="仿宋_GB2312" w:hint="eastAsia"/>
          <w:kern w:val="0"/>
          <w:sz w:val="30"/>
          <w:szCs w:val="30"/>
          <w:shd w:val="clear" w:color="auto" w:fill="FFFFFF"/>
          <w:lang w:bidi="ar"/>
        </w:rPr>
        <w:t>在认定信用水平时，对于经国家金融监督管理总局</w:t>
      </w:r>
      <w:r>
        <w:rPr>
          <w:rFonts w:ascii="仿宋_GB2312" w:eastAsia="仿宋_GB2312" w:hint="eastAsia"/>
          <w:sz w:val="30"/>
          <w:szCs w:val="30"/>
        </w:rPr>
        <w:t>或其派出机构</w:t>
      </w:r>
      <w:r>
        <w:rPr>
          <w:rFonts w:ascii="仿宋_GB2312" w:eastAsia="仿宋_GB2312" w:cs="仿宋_GB2312" w:hint="eastAsia"/>
          <w:kern w:val="0"/>
          <w:sz w:val="30"/>
          <w:szCs w:val="30"/>
          <w:shd w:val="clear" w:color="auto" w:fill="FFFFFF"/>
          <w:lang w:bidi="ar"/>
        </w:rPr>
        <w:t>验收通过实施信用风险内部评级法的银行，若无法取得</w:t>
      </w:r>
      <w:r w:rsidR="009C5D53">
        <w:rPr>
          <w:rFonts w:ascii="仿宋_GB2312" w:eastAsia="仿宋_GB2312" w:cs="仿宋_GB2312" w:hint="eastAsia"/>
          <w:kern w:val="0"/>
          <w:sz w:val="30"/>
          <w:szCs w:val="30"/>
          <w:shd w:val="clear" w:color="auto" w:fill="FFFFFF"/>
          <w:lang w:bidi="ar"/>
        </w:rPr>
        <w:t>债项</w:t>
      </w:r>
      <w:bookmarkStart w:id="10" w:name="_GoBack"/>
      <w:bookmarkEnd w:id="10"/>
      <w:r>
        <w:rPr>
          <w:rFonts w:ascii="仿宋_GB2312" w:eastAsia="仿宋_GB2312" w:cs="仿宋_GB2312" w:hint="eastAsia"/>
          <w:kern w:val="0"/>
          <w:sz w:val="30"/>
          <w:szCs w:val="30"/>
          <w:shd w:val="clear" w:color="auto" w:fill="FFFFFF"/>
          <w:lang w:bidi="ar"/>
        </w:rPr>
        <w:t>的合格外部评级，可将内部评级映射到外部评级</w:t>
      </w:r>
      <w:r>
        <w:rPr>
          <w:rFonts w:ascii="仿宋_GB2312" w:eastAsia="仿宋_GB2312" w:hint="eastAsia"/>
          <w:sz w:val="30"/>
          <w:szCs w:val="30"/>
        </w:rPr>
        <w:t>。商业银行应制定清晰的评级映射规则，至少每年检验一次映射规则的合理性，并留档备查。</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b/>
          <w:sz w:val="28"/>
          <w:szCs w:val="28"/>
        </w:rPr>
        <w:t xml:space="preserve">6 </w:t>
      </w:r>
      <w:r>
        <w:rPr>
          <w:rFonts w:ascii="楷体_GB2312" w:eastAsia="楷体_GB2312" w:hint="eastAsia"/>
          <w:b/>
          <w:sz w:val="28"/>
          <w:szCs w:val="28"/>
        </w:rPr>
        <w:t>非相关性交易组合证券化信用利差风险组</w:t>
      </w:r>
    </w:p>
    <w:tbl>
      <w:tblPr>
        <w:tblW w:w="8522" w:type="dxa"/>
        <w:tblLayout w:type="fixed"/>
        <w:tblLook w:val="04A0" w:firstRow="1" w:lastRow="0" w:firstColumn="1" w:lastColumn="0" w:noHBand="0" w:noVBand="1"/>
      </w:tblPr>
      <w:tblGrid>
        <w:gridCol w:w="1384"/>
        <w:gridCol w:w="1326"/>
        <w:gridCol w:w="5812"/>
      </w:tblGrid>
      <w:tr w:rsidR="004165E8">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w:t>
            </w:r>
          </w:p>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32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信用水平</w:t>
            </w: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资产类型</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326" w:type="dxa"/>
            <w:vMerge w:val="restart"/>
            <w:tcBorders>
              <w:top w:val="nil"/>
              <w:left w:val="nil"/>
              <w:bottom w:val="single" w:sz="4" w:space="0" w:color="000000"/>
              <w:right w:val="single" w:sz="4" w:space="0" w:color="000000"/>
            </w:tcBorders>
            <w:vAlign w:val="center"/>
          </w:tcPr>
          <w:p w:rsidR="004165E8" w:rsidRDefault="00A108D9">
            <w:pPr>
              <w:widowControl/>
              <w:jc w:val="center"/>
              <w:rPr>
                <w:rFonts w:ascii="宋体" w:hAnsi="宋体" w:cs="宋体"/>
                <w:kern w:val="0"/>
                <w:sz w:val="24"/>
              </w:rPr>
            </w:pPr>
            <w:r>
              <w:rPr>
                <w:rFonts w:ascii="宋体" w:hAnsi="宋体" w:cs="宋体" w:hint="eastAsia"/>
                <w:kern w:val="0"/>
                <w:sz w:val="24"/>
              </w:rPr>
              <w:t>投资级别</w:t>
            </w:r>
            <w:r>
              <w:rPr>
                <w:rFonts w:ascii="宋体" w:hAnsi="宋体" w:cs="宋体" w:hint="eastAsia"/>
                <w:kern w:val="0"/>
                <w:sz w:val="24"/>
              </w:rPr>
              <w:t>-</w:t>
            </w:r>
            <w:r>
              <w:rPr>
                <w:rFonts w:ascii="宋体" w:hAnsi="宋体" w:cs="宋体" w:hint="eastAsia"/>
                <w:kern w:val="0"/>
                <w:sz w:val="24"/>
              </w:rPr>
              <w:t>优先级</w:t>
            </w:r>
            <w:r>
              <w:rPr>
                <w:rFonts w:ascii="宋体" w:hAnsi="宋体" w:cs="宋体" w:hint="eastAsia"/>
                <w:kern w:val="0"/>
                <w:sz w:val="24"/>
              </w:rPr>
              <w:lastRenderedPageBreak/>
              <w:t>(Senior IG)</w:t>
            </w: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lastRenderedPageBreak/>
              <w:t>住房贷款抵押证券—优级</w:t>
            </w:r>
            <w:r>
              <w:rPr>
                <w:rFonts w:ascii="宋体" w:hAnsi="宋体" w:cs="宋体" w:hint="eastAsia"/>
                <w:sz w:val="24"/>
              </w:rPr>
              <w:t>(RMBS-Prime)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住房贷款抵押证券—中级</w:t>
            </w:r>
            <w:r>
              <w:rPr>
                <w:rFonts w:ascii="宋体" w:hAnsi="宋体" w:cs="宋体" w:hint="eastAsia"/>
                <w:sz w:val="24"/>
              </w:rPr>
              <w:t>(RMBS-Mid-Prime)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lastRenderedPageBreak/>
              <w:t>3</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住房贷款抵押证券—次级</w:t>
            </w:r>
            <w:r>
              <w:rPr>
                <w:rFonts w:ascii="宋体" w:hAnsi="宋体" w:cs="宋体" w:hint="eastAsia"/>
                <w:sz w:val="24"/>
              </w:rPr>
              <w:t>(RMBS-Sub-Prime)</w:t>
            </w:r>
          </w:p>
        </w:tc>
      </w:tr>
      <w:tr w:rsidR="004165E8">
        <w:tc>
          <w:tcPr>
            <w:tcW w:w="1384" w:type="dxa"/>
            <w:tcBorders>
              <w:top w:val="single" w:sz="4" w:space="0" w:color="000000"/>
              <w:left w:val="single" w:sz="4" w:space="0" w:color="000000"/>
              <w:bottom w:val="single" w:sz="4" w:space="0" w:color="auto"/>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auto"/>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商业房地产抵押贷款支持证券</w:t>
            </w:r>
            <w:r>
              <w:rPr>
                <w:rFonts w:ascii="宋体" w:hAnsi="宋体" w:cs="宋体" w:hint="eastAsia"/>
                <w:sz w:val="24"/>
              </w:rPr>
              <w:t>(CMBS)</w:t>
            </w:r>
          </w:p>
        </w:tc>
      </w:tr>
      <w:tr w:rsidR="004165E8">
        <w:tc>
          <w:tcPr>
            <w:tcW w:w="1384" w:type="dxa"/>
            <w:tcBorders>
              <w:top w:val="single" w:sz="4" w:space="0" w:color="auto"/>
              <w:left w:val="single" w:sz="4" w:space="0" w:color="auto"/>
              <w:bottom w:val="single" w:sz="4" w:space="0" w:color="auto"/>
              <w:right w:val="single" w:sz="4" w:space="0" w:color="auto"/>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326" w:type="dxa"/>
            <w:vMerge/>
            <w:tcBorders>
              <w:top w:val="nil"/>
              <w:left w:val="single" w:sz="4" w:space="0" w:color="auto"/>
              <w:right w:val="single" w:sz="4" w:space="0" w:color="auto"/>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w:t>
            </w:r>
            <w:proofErr w:type="gramStart"/>
            <w:r>
              <w:rPr>
                <w:rFonts w:ascii="宋体" w:hAnsi="宋体" w:cs="宋体" w:hint="eastAsia"/>
                <w:sz w:val="24"/>
              </w:rPr>
              <w:t>—学生</w:t>
            </w:r>
            <w:proofErr w:type="gramEnd"/>
            <w:r>
              <w:rPr>
                <w:rFonts w:ascii="宋体" w:hAnsi="宋体" w:cs="宋体" w:hint="eastAsia"/>
                <w:sz w:val="24"/>
              </w:rPr>
              <w:t>贷款</w:t>
            </w:r>
            <w:r>
              <w:rPr>
                <w:rFonts w:ascii="宋体" w:hAnsi="宋体" w:cs="宋体" w:hint="eastAsia"/>
                <w:sz w:val="24"/>
              </w:rPr>
              <w:t>(ABS-Student loans)</w:t>
            </w:r>
          </w:p>
        </w:tc>
      </w:tr>
      <w:tr w:rsidR="004165E8">
        <w:tc>
          <w:tcPr>
            <w:tcW w:w="1384" w:type="dxa"/>
            <w:tcBorders>
              <w:top w:val="single" w:sz="4" w:space="0" w:color="auto"/>
              <w:left w:val="single" w:sz="4" w:space="0" w:color="auto"/>
              <w:bottom w:val="single" w:sz="4" w:space="0" w:color="auto"/>
              <w:right w:val="single" w:sz="4" w:space="0" w:color="auto"/>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326" w:type="dxa"/>
            <w:vMerge/>
            <w:tcBorders>
              <w:left w:val="single" w:sz="4" w:space="0" w:color="auto"/>
              <w:bottom w:val="single" w:sz="4" w:space="0" w:color="000000"/>
              <w:right w:val="single" w:sz="4" w:space="0" w:color="auto"/>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资产支持证券—信用卡</w:t>
            </w:r>
            <w:r>
              <w:rPr>
                <w:rFonts w:ascii="宋体" w:hAnsi="宋体" w:cs="宋体" w:hint="eastAsia"/>
                <w:sz w:val="24"/>
              </w:rPr>
              <w:t>(ABS-Credit cards)</w:t>
            </w:r>
          </w:p>
        </w:tc>
      </w:tr>
      <w:tr w:rsidR="004165E8">
        <w:tc>
          <w:tcPr>
            <w:tcW w:w="1384" w:type="dxa"/>
            <w:tcBorders>
              <w:top w:val="single" w:sz="4" w:space="0" w:color="auto"/>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326" w:type="dxa"/>
            <w:vMerge/>
            <w:tcBorders>
              <w:top w:val="single" w:sz="4" w:space="0" w:color="000000"/>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auto"/>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w:t>
            </w:r>
            <w:proofErr w:type="gramStart"/>
            <w:r>
              <w:rPr>
                <w:rFonts w:ascii="宋体" w:hAnsi="宋体" w:cs="宋体" w:hint="eastAsia"/>
                <w:sz w:val="24"/>
              </w:rPr>
              <w:t>—汽车</w:t>
            </w:r>
            <w:proofErr w:type="gramEnd"/>
            <w:r>
              <w:rPr>
                <w:rFonts w:ascii="宋体" w:hAnsi="宋体" w:cs="宋体" w:hint="eastAsia"/>
                <w:sz w:val="24"/>
              </w:rPr>
              <w:t>贷款</w:t>
            </w:r>
            <w:r>
              <w:rPr>
                <w:rFonts w:ascii="宋体" w:hAnsi="宋体" w:cs="宋体" w:hint="eastAsia"/>
                <w:sz w:val="24"/>
              </w:rPr>
              <w:t>(ABS-Auto)</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326" w:type="dxa"/>
            <w:vMerge/>
            <w:tcBorders>
              <w:top w:val="single" w:sz="4" w:space="0" w:color="000000"/>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贷款抵押债券—非相关交易组合</w:t>
            </w:r>
            <w:r>
              <w:rPr>
                <w:rFonts w:ascii="宋体" w:hAnsi="宋体" w:cs="宋体" w:hint="eastAsia"/>
                <w:sz w:val="24"/>
              </w:rPr>
              <w:t>(CLO non-CTP)</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1326" w:type="dxa"/>
            <w:vMerge w:val="restart"/>
            <w:tcBorders>
              <w:top w:val="nil"/>
              <w:left w:val="nil"/>
              <w:bottom w:val="single" w:sz="4" w:space="0" w:color="000000"/>
              <w:right w:val="single" w:sz="4" w:space="0" w:color="000000"/>
            </w:tcBorders>
            <w:vAlign w:val="center"/>
          </w:tcPr>
          <w:p w:rsidR="004165E8" w:rsidRDefault="00A108D9">
            <w:pPr>
              <w:widowControl/>
              <w:jc w:val="center"/>
              <w:rPr>
                <w:rFonts w:ascii="宋体" w:hAnsi="宋体" w:cs="宋体"/>
                <w:kern w:val="0"/>
                <w:sz w:val="24"/>
              </w:rPr>
            </w:pPr>
            <w:r>
              <w:rPr>
                <w:rFonts w:ascii="宋体" w:hAnsi="宋体" w:cs="宋体" w:hint="eastAsia"/>
                <w:kern w:val="0"/>
                <w:sz w:val="24"/>
              </w:rPr>
              <w:t>投资级别</w:t>
            </w:r>
            <w:r>
              <w:rPr>
                <w:rFonts w:ascii="宋体" w:hAnsi="宋体" w:cs="宋体" w:hint="eastAsia"/>
                <w:kern w:val="0"/>
                <w:sz w:val="24"/>
              </w:rPr>
              <w:t>-</w:t>
            </w:r>
            <w:r>
              <w:rPr>
                <w:rFonts w:ascii="宋体" w:hAnsi="宋体" w:cs="宋体" w:hint="eastAsia"/>
                <w:kern w:val="0"/>
                <w:sz w:val="24"/>
              </w:rPr>
              <w:t>非优先级</w:t>
            </w:r>
            <w:r>
              <w:rPr>
                <w:rFonts w:ascii="宋体" w:hAnsi="宋体" w:cs="宋体" w:hint="eastAsia"/>
                <w:kern w:val="0"/>
                <w:sz w:val="24"/>
              </w:rPr>
              <w:t>(Non-senior IG)</w:t>
            </w: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住房贷款抵押证券—优级</w:t>
            </w:r>
            <w:r>
              <w:rPr>
                <w:rFonts w:ascii="宋体" w:hAnsi="宋体" w:cs="宋体" w:hint="eastAsia"/>
                <w:sz w:val="24"/>
              </w:rPr>
              <w:t>(RMBS-Prime)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住房贷款抵押证券—中级</w:t>
            </w:r>
            <w:r>
              <w:rPr>
                <w:rFonts w:ascii="宋体" w:hAnsi="宋体" w:cs="宋体" w:hint="eastAsia"/>
                <w:sz w:val="24"/>
              </w:rPr>
              <w:t>(RMBS-Mid-Prime)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住房贷款抵押证券—次级</w:t>
            </w:r>
            <w:r>
              <w:rPr>
                <w:rFonts w:ascii="宋体" w:hAnsi="宋体" w:cs="宋体" w:hint="eastAsia"/>
                <w:sz w:val="24"/>
              </w:rPr>
              <w:t>(RMBS-Sub-Prime)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商业房地产抵押贷款支持证券</w:t>
            </w:r>
            <w:r>
              <w:rPr>
                <w:rFonts w:ascii="宋体" w:hAnsi="宋体" w:cs="宋体" w:hint="eastAsia"/>
                <w:sz w:val="24"/>
              </w:rPr>
              <w:t>(CMBS)</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w:t>
            </w:r>
            <w:proofErr w:type="gramStart"/>
            <w:r>
              <w:rPr>
                <w:rFonts w:ascii="宋体" w:hAnsi="宋体" w:cs="宋体" w:hint="eastAsia"/>
                <w:sz w:val="24"/>
              </w:rPr>
              <w:t>—学生</w:t>
            </w:r>
            <w:proofErr w:type="gramEnd"/>
            <w:r>
              <w:rPr>
                <w:rFonts w:ascii="宋体" w:hAnsi="宋体" w:cs="宋体" w:hint="eastAsia"/>
                <w:sz w:val="24"/>
              </w:rPr>
              <w:t>贷款</w:t>
            </w:r>
            <w:r>
              <w:rPr>
                <w:rFonts w:ascii="宋体" w:hAnsi="宋体" w:cs="宋体" w:hint="eastAsia"/>
                <w:sz w:val="24"/>
              </w:rPr>
              <w:t>(ABS-Student loans)</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资产支持证券—信用卡</w:t>
            </w:r>
            <w:r>
              <w:rPr>
                <w:rFonts w:ascii="宋体" w:hAnsi="宋体" w:cs="宋体" w:hint="eastAsia"/>
                <w:sz w:val="24"/>
              </w:rPr>
              <w:t>(ABS-Credit cards)</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w:t>
            </w:r>
            <w:proofErr w:type="gramStart"/>
            <w:r>
              <w:rPr>
                <w:rFonts w:ascii="宋体" w:hAnsi="宋体" w:cs="宋体" w:hint="eastAsia"/>
                <w:sz w:val="24"/>
              </w:rPr>
              <w:t>—汽车</w:t>
            </w:r>
            <w:proofErr w:type="gramEnd"/>
            <w:r>
              <w:rPr>
                <w:rFonts w:ascii="宋体" w:hAnsi="宋体" w:cs="宋体" w:hint="eastAsia"/>
                <w:sz w:val="24"/>
              </w:rPr>
              <w:t>贷款</w:t>
            </w:r>
            <w:r>
              <w:rPr>
                <w:rFonts w:ascii="宋体" w:hAnsi="宋体" w:cs="宋体" w:hint="eastAsia"/>
                <w:sz w:val="24"/>
              </w:rPr>
              <w:t>(ABS-Auto)</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贷款抵押债券—非相关交易组合</w:t>
            </w:r>
            <w:r>
              <w:rPr>
                <w:rFonts w:ascii="宋体" w:hAnsi="宋体" w:cs="宋体" w:hint="eastAsia"/>
                <w:sz w:val="24"/>
              </w:rPr>
              <w:t>(CLO non-CTP)</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1326" w:type="dxa"/>
            <w:vMerge w:val="restart"/>
            <w:tcBorders>
              <w:top w:val="nil"/>
              <w:left w:val="nil"/>
              <w:bottom w:val="single" w:sz="4" w:space="0" w:color="000000"/>
              <w:right w:val="single" w:sz="4" w:space="0" w:color="000000"/>
            </w:tcBorders>
            <w:vAlign w:val="center"/>
          </w:tcPr>
          <w:p w:rsidR="004165E8" w:rsidRDefault="00A108D9">
            <w:pPr>
              <w:widowControl/>
              <w:jc w:val="center"/>
              <w:rPr>
                <w:rFonts w:ascii="宋体" w:hAnsi="宋体" w:cs="宋体"/>
                <w:kern w:val="0"/>
                <w:sz w:val="24"/>
              </w:rPr>
            </w:pPr>
            <w:r>
              <w:rPr>
                <w:rFonts w:ascii="宋体" w:hAnsi="宋体" w:cs="宋体" w:hint="eastAsia"/>
                <w:kern w:val="0"/>
                <w:sz w:val="24"/>
              </w:rPr>
              <w:t>高收益（</w:t>
            </w:r>
            <w:r>
              <w:rPr>
                <w:rFonts w:ascii="宋体" w:hAnsi="宋体" w:cs="宋体" w:hint="eastAsia"/>
                <w:kern w:val="0"/>
                <w:sz w:val="24"/>
              </w:rPr>
              <w:t>HY</w:t>
            </w:r>
            <w:r>
              <w:rPr>
                <w:rFonts w:ascii="宋体" w:hAnsi="宋体" w:cs="宋体" w:hint="eastAsia"/>
                <w:kern w:val="0"/>
                <w:sz w:val="24"/>
              </w:rPr>
              <w:t>）和无评级（</w:t>
            </w:r>
            <w:r>
              <w:rPr>
                <w:rFonts w:ascii="宋体" w:hAnsi="宋体" w:cs="宋体" w:hint="eastAsia"/>
                <w:kern w:val="0"/>
                <w:sz w:val="24"/>
              </w:rPr>
              <w:t>NR</w:t>
            </w:r>
            <w:r>
              <w:rPr>
                <w:rFonts w:ascii="宋体" w:hAnsi="宋体" w:cs="宋体" w:hint="eastAsia"/>
                <w:kern w:val="0"/>
                <w:sz w:val="24"/>
              </w:rPr>
              <w:t>）</w:t>
            </w: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住房贷款抵押证券—优级</w:t>
            </w:r>
            <w:r>
              <w:rPr>
                <w:rFonts w:ascii="宋体" w:hAnsi="宋体" w:cs="宋体" w:hint="eastAsia"/>
                <w:sz w:val="24"/>
              </w:rPr>
              <w:t>(RMBS-Prime)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住房贷款抵押证券—中级</w:t>
            </w:r>
            <w:r>
              <w:rPr>
                <w:rFonts w:ascii="宋体" w:hAnsi="宋体" w:cs="宋体" w:hint="eastAsia"/>
                <w:sz w:val="24"/>
              </w:rPr>
              <w:t>(RMBS-Mid-Prime)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住房贷款抵押证券—次级</w:t>
            </w:r>
            <w:r>
              <w:rPr>
                <w:rFonts w:ascii="宋体" w:hAnsi="宋体" w:cs="宋体" w:hint="eastAsia"/>
                <w:sz w:val="24"/>
              </w:rPr>
              <w:t>(RMBS-Sub-Prime)</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商业房地产抵押贷款支持证券</w:t>
            </w:r>
            <w:r>
              <w:rPr>
                <w:rFonts w:ascii="宋体" w:hAnsi="宋体" w:cs="宋体" w:hint="eastAsia"/>
                <w:sz w:val="24"/>
              </w:rPr>
              <w:t>(CMBS)</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w:t>
            </w:r>
            <w:proofErr w:type="gramStart"/>
            <w:r>
              <w:rPr>
                <w:rFonts w:ascii="宋体" w:hAnsi="宋体" w:cs="宋体" w:hint="eastAsia"/>
                <w:sz w:val="24"/>
              </w:rPr>
              <w:t>—学生</w:t>
            </w:r>
            <w:proofErr w:type="gramEnd"/>
            <w:r>
              <w:rPr>
                <w:rFonts w:ascii="宋体" w:hAnsi="宋体" w:cs="宋体" w:hint="eastAsia"/>
                <w:sz w:val="24"/>
              </w:rPr>
              <w:t>贷款</w:t>
            </w:r>
            <w:r>
              <w:rPr>
                <w:rFonts w:ascii="宋体" w:hAnsi="宋体" w:cs="宋体" w:hint="eastAsia"/>
                <w:sz w:val="24"/>
              </w:rPr>
              <w:t>(ABS-Student loans)</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资产支持证券—信用卡</w:t>
            </w:r>
            <w:r>
              <w:rPr>
                <w:rFonts w:ascii="宋体" w:hAnsi="宋体" w:cs="宋体" w:hint="eastAsia"/>
                <w:sz w:val="24"/>
              </w:rPr>
              <w:t>(ABS-Credit cards)</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资产支持证券</w:t>
            </w:r>
            <w:proofErr w:type="gramStart"/>
            <w:r>
              <w:rPr>
                <w:rFonts w:ascii="宋体" w:hAnsi="宋体" w:cs="宋体" w:hint="eastAsia"/>
                <w:sz w:val="24"/>
              </w:rPr>
              <w:t>—汽车</w:t>
            </w:r>
            <w:proofErr w:type="gramEnd"/>
            <w:r>
              <w:rPr>
                <w:rFonts w:ascii="宋体" w:hAnsi="宋体" w:cs="宋体" w:hint="eastAsia"/>
                <w:sz w:val="24"/>
              </w:rPr>
              <w:t>贷款</w:t>
            </w:r>
            <w:r>
              <w:rPr>
                <w:rFonts w:ascii="宋体" w:hAnsi="宋体" w:cs="宋体" w:hint="eastAsia"/>
                <w:sz w:val="24"/>
              </w:rPr>
              <w:t>(ABS-Auto)</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1326"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
                <w:bCs/>
                <w:kern w:val="0"/>
                <w:sz w:val="24"/>
              </w:rPr>
            </w:pPr>
          </w:p>
        </w:tc>
        <w:tc>
          <w:tcPr>
            <w:tcW w:w="581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kern w:val="0"/>
                <w:sz w:val="24"/>
              </w:rPr>
            </w:pPr>
            <w:r>
              <w:rPr>
                <w:rFonts w:ascii="宋体" w:hAnsi="宋体" w:cs="宋体" w:hint="eastAsia"/>
                <w:sz w:val="24"/>
              </w:rPr>
              <w:t>贷款抵押债券—非相关交易组合</w:t>
            </w:r>
            <w:r>
              <w:rPr>
                <w:rFonts w:ascii="宋体" w:hAnsi="宋体" w:cs="宋体" w:hint="eastAsia"/>
                <w:sz w:val="24"/>
              </w:rPr>
              <w:t>(CLO non-CTP)</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7138" w:type="dxa"/>
            <w:gridSpan w:val="2"/>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其他资产类型</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）得尔塔敏感度风险权重如下：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8</w:t>
      </w:r>
      <w:r>
        <w:rPr>
          <w:rFonts w:ascii="仿宋_GB2312" w:eastAsia="仿宋_GB2312" w:hint="eastAsia"/>
          <w:sz w:val="30"/>
          <w:szCs w:val="30"/>
        </w:rPr>
        <w:t>对应的风险权重见表</w:t>
      </w:r>
      <w:r>
        <w:rPr>
          <w:rFonts w:ascii="仿宋_GB2312" w:eastAsia="仿宋_GB2312"/>
          <w:sz w:val="30"/>
          <w:szCs w:val="30"/>
        </w:rPr>
        <w:t>7</w:t>
      </w:r>
      <w:r>
        <w:rPr>
          <w:rFonts w:ascii="仿宋_GB2312" w:eastAsia="仿宋_GB2312" w:hint="eastAsia"/>
          <w:sz w:val="30"/>
          <w:szCs w:val="30"/>
        </w:rPr>
        <w:t>。</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b/>
          <w:sz w:val="28"/>
          <w:szCs w:val="28"/>
        </w:rPr>
        <w:t xml:space="preserve">7 </w:t>
      </w:r>
      <w:r>
        <w:rPr>
          <w:rFonts w:ascii="楷体_GB2312" w:eastAsia="楷体_GB2312" w:hint="eastAsia"/>
          <w:b/>
          <w:sz w:val="28"/>
          <w:szCs w:val="28"/>
        </w:rPr>
        <w:t>非相关性交易组合证券化信用利差得尔塔敏感度风险权重</w:t>
      </w:r>
    </w:p>
    <w:tbl>
      <w:tblPr>
        <w:tblW w:w="8217" w:type="dxa"/>
        <w:jc w:val="center"/>
        <w:tblLayout w:type="fixed"/>
        <w:tblLook w:val="04A0" w:firstRow="1" w:lastRow="0" w:firstColumn="1" w:lastColumn="0" w:noHBand="0" w:noVBand="1"/>
      </w:tblPr>
      <w:tblGrid>
        <w:gridCol w:w="3586"/>
        <w:gridCol w:w="4631"/>
      </w:tblGrid>
      <w:tr w:rsidR="004165E8">
        <w:trPr>
          <w:trHeight w:val="32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风险组序号</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风险权重</w:t>
            </w:r>
          </w:p>
        </w:tc>
      </w:tr>
      <w:tr w:rsidR="004165E8">
        <w:trPr>
          <w:trHeight w:val="302"/>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0.9%</w:t>
            </w:r>
          </w:p>
        </w:tc>
      </w:tr>
      <w:tr w:rsidR="004165E8">
        <w:trPr>
          <w:trHeight w:val="32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r>
      <w:tr w:rsidR="004165E8">
        <w:trPr>
          <w:trHeight w:val="32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r>
      <w:tr w:rsidR="004165E8">
        <w:trPr>
          <w:trHeight w:val="32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r>
      <w:tr w:rsidR="004165E8">
        <w:trPr>
          <w:trHeight w:val="32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0.8%</w:t>
            </w:r>
          </w:p>
        </w:tc>
      </w:tr>
      <w:tr w:rsidR="004165E8">
        <w:trPr>
          <w:trHeight w:val="32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w:t>
            </w:r>
          </w:p>
        </w:tc>
      </w:tr>
      <w:tr w:rsidR="004165E8">
        <w:trPr>
          <w:trHeight w:val="32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w:t>
            </w:r>
          </w:p>
        </w:tc>
      </w:tr>
      <w:tr w:rsidR="004165E8">
        <w:trPr>
          <w:trHeight w:val="334"/>
          <w:jc w:val="center"/>
        </w:trPr>
        <w:tc>
          <w:tcPr>
            <w:tcW w:w="3586"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463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1.4%</w:t>
            </w:r>
          </w:p>
        </w:tc>
      </w:tr>
    </w:tbl>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lastRenderedPageBreak/>
        <w:t>b.</w:t>
      </w:r>
      <w:r>
        <w:rPr>
          <w:rFonts w:ascii="仿宋_GB2312" w:eastAsia="仿宋_GB2312" w:hint="eastAsia"/>
          <w:sz w:val="30"/>
          <w:szCs w:val="30"/>
        </w:rPr>
        <w:t>风险组</w:t>
      </w:r>
      <w:r>
        <w:rPr>
          <w:rFonts w:ascii="仿宋_GB2312" w:eastAsia="仿宋_GB2312" w:hint="eastAsia"/>
          <w:sz w:val="30"/>
          <w:szCs w:val="30"/>
        </w:rPr>
        <w:t>9</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16</w:t>
      </w:r>
      <w:r>
        <w:rPr>
          <w:rFonts w:ascii="仿宋_GB2312" w:eastAsia="仿宋_GB2312" w:hint="eastAsia"/>
          <w:sz w:val="30"/>
          <w:szCs w:val="30"/>
        </w:rPr>
        <w:t>对应的风险权重等于风险组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8</w:t>
      </w:r>
      <w:r>
        <w:rPr>
          <w:rFonts w:ascii="仿宋_GB2312" w:eastAsia="仿宋_GB2312" w:hint="eastAsia"/>
          <w:sz w:val="30"/>
          <w:szCs w:val="30"/>
        </w:rPr>
        <w:t>相应风险权重的</w:t>
      </w:r>
      <w:r>
        <w:rPr>
          <w:rFonts w:ascii="仿宋_GB2312" w:eastAsia="仿宋_GB2312" w:hint="eastAsia"/>
          <w:sz w:val="30"/>
          <w:szCs w:val="30"/>
        </w:rPr>
        <w:t>1.25</w:t>
      </w:r>
      <w:r>
        <w:rPr>
          <w:rFonts w:ascii="仿宋_GB2312" w:eastAsia="仿宋_GB2312" w:hint="eastAsia"/>
          <w:sz w:val="30"/>
          <w:szCs w:val="30"/>
        </w:rPr>
        <w:t>倍。</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风险组</w:t>
      </w:r>
      <w:r>
        <w:rPr>
          <w:rFonts w:ascii="仿宋_GB2312" w:eastAsia="仿宋_GB2312" w:hint="eastAsia"/>
          <w:sz w:val="30"/>
          <w:szCs w:val="30"/>
        </w:rPr>
        <w:t>17</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24</w:t>
      </w:r>
      <w:r>
        <w:rPr>
          <w:rFonts w:ascii="仿宋_GB2312" w:eastAsia="仿宋_GB2312" w:hint="eastAsia"/>
          <w:sz w:val="30"/>
          <w:szCs w:val="30"/>
        </w:rPr>
        <w:t>对应的风险权重等于风险组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8</w:t>
      </w:r>
      <w:r>
        <w:rPr>
          <w:rFonts w:ascii="仿宋_GB2312" w:eastAsia="仿宋_GB2312" w:hint="eastAsia"/>
          <w:sz w:val="30"/>
          <w:szCs w:val="30"/>
        </w:rPr>
        <w:t>相应风险权重的</w:t>
      </w:r>
      <w:r>
        <w:rPr>
          <w:rFonts w:ascii="仿宋_GB2312" w:eastAsia="仿宋_GB2312" w:hint="eastAsia"/>
          <w:sz w:val="30"/>
          <w:szCs w:val="30"/>
        </w:rPr>
        <w:t>1.75</w:t>
      </w:r>
      <w:r>
        <w:rPr>
          <w:rFonts w:ascii="仿宋_GB2312" w:eastAsia="仿宋_GB2312" w:hint="eastAsia"/>
          <w:sz w:val="30"/>
          <w:szCs w:val="30"/>
        </w:rPr>
        <w:t>倍。</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d.</w:t>
      </w:r>
      <w:r>
        <w:rPr>
          <w:rFonts w:ascii="仿宋_GB2312" w:eastAsia="仿宋_GB2312" w:hint="eastAsia"/>
          <w:sz w:val="30"/>
          <w:szCs w:val="30"/>
        </w:rPr>
        <w:t>风险组</w:t>
      </w:r>
      <w:r>
        <w:rPr>
          <w:rFonts w:ascii="仿宋_GB2312" w:eastAsia="仿宋_GB2312" w:hint="eastAsia"/>
          <w:sz w:val="30"/>
          <w:szCs w:val="30"/>
        </w:rPr>
        <w:t>25</w:t>
      </w:r>
      <w:r>
        <w:rPr>
          <w:rFonts w:ascii="仿宋_GB2312" w:eastAsia="仿宋_GB2312" w:hint="eastAsia"/>
          <w:sz w:val="30"/>
          <w:szCs w:val="30"/>
        </w:rPr>
        <w:t>的风险权重为</w:t>
      </w:r>
      <w:r>
        <w:rPr>
          <w:rFonts w:ascii="仿宋_GB2312" w:eastAsia="仿宋_GB2312" w:hint="eastAsia"/>
          <w:sz w:val="30"/>
          <w:szCs w:val="30"/>
        </w:rPr>
        <w:t>3.5%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）对于</w:t>
      </w:r>
      <w:proofErr w:type="gramStart"/>
      <w:r>
        <w:rPr>
          <w:rFonts w:ascii="仿宋_GB2312" w:eastAsia="仿宋_GB2312" w:cs="仿宋_GB2312" w:hint="eastAsia"/>
          <w:color w:val="000000"/>
          <w:kern w:val="0"/>
          <w:sz w:val="30"/>
          <w:szCs w:val="30"/>
          <w:shd w:val="clear" w:color="auto" w:fill="FFFFFF"/>
          <w:lang w:bidi="ar"/>
        </w:rPr>
        <w:t>除风险组</w:t>
      </w:r>
      <w:proofErr w:type="gramEnd"/>
      <w:r>
        <w:rPr>
          <w:rFonts w:ascii="仿宋_GB2312" w:eastAsia="仿宋_GB2312" w:cs="仿宋_GB2312" w:hint="eastAsia"/>
          <w:color w:val="000000"/>
          <w:kern w:val="0"/>
          <w:sz w:val="30"/>
          <w:szCs w:val="30"/>
          <w:shd w:val="clear" w:color="auto" w:fill="FFFFFF"/>
          <w:lang w:bidi="ar"/>
        </w:rPr>
        <w:t>25</w:t>
      </w:r>
      <w:r>
        <w:rPr>
          <w:rFonts w:ascii="仿宋_GB2312" w:eastAsia="仿宋_GB2312" w:cs="仿宋_GB2312" w:hint="eastAsia"/>
          <w:color w:val="000000"/>
          <w:kern w:val="0"/>
          <w:sz w:val="30"/>
          <w:szCs w:val="30"/>
          <w:shd w:val="clear" w:color="auto" w:fill="FFFFFF"/>
          <w:lang w:bidi="ar"/>
        </w:rPr>
        <w:t>外的风险组，</w:t>
      </w:r>
      <w:proofErr w:type="gramStart"/>
      <w:r>
        <w:rPr>
          <w:rFonts w:ascii="仿宋_GB2312" w:eastAsia="仿宋_GB2312" w:cs="仿宋_GB2312" w:hint="eastAsia"/>
          <w:color w:val="000000"/>
          <w:kern w:val="0"/>
          <w:sz w:val="30"/>
          <w:szCs w:val="30"/>
          <w:shd w:val="clear" w:color="auto" w:fill="FFFFFF"/>
          <w:lang w:bidi="ar"/>
        </w:rPr>
        <w:t>计算非</w:t>
      </w:r>
      <w:proofErr w:type="gramEnd"/>
      <w:r>
        <w:rPr>
          <w:rFonts w:ascii="仿宋_GB2312" w:eastAsia="仿宋_GB2312" w:cs="仿宋_GB2312" w:hint="eastAsia"/>
          <w:color w:val="000000"/>
          <w:kern w:val="0"/>
          <w:sz w:val="30"/>
          <w:szCs w:val="30"/>
          <w:shd w:val="clear" w:color="auto" w:fill="FFFFFF"/>
          <w:lang w:bidi="ar"/>
        </w:rPr>
        <w:t>相关性交易组合证券化信用利差风险得尔塔敏感度风险头寸时，同一个风险组内的相关系数</w:t>
      </w:r>
      <w:r>
        <w:rPr>
          <w:position w:val="-14"/>
          <w:sz w:val="30"/>
          <w:szCs w:val="30"/>
        </w:rPr>
        <w:object w:dxaOrig="387" w:dyaOrig="387">
          <v:shape id="_x0000_i1119" type="#_x0000_t75" style="width:19.25pt;height:19.25pt" o:ole="">
            <v:imagedata r:id="rId59" o:title=""/>
          </v:shape>
          <o:OLEObject Type="Embed" ProgID="Equation.DSMT4" ShapeID="_x0000_i1119" DrawAspect="Content" ObjectID="_1765373687" r:id="rId163"/>
        </w:object>
      </w:r>
      <w:r>
        <w:rPr>
          <w:rFonts w:ascii="仿宋_GB2312" w:eastAsia="仿宋_GB2312" w:cs="仿宋_GB2312" w:hint="eastAsia"/>
          <w:color w:val="000000"/>
          <w:kern w:val="0"/>
          <w:sz w:val="30"/>
          <w:szCs w:val="30"/>
          <w:shd w:val="clear" w:color="auto" w:fill="FFFFFF"/>
          <w:lang w:bidi="ar"/>
        </w:rPr>
        <w:t>计算方法如下：</w:t>
      </w:r>
    </w:p>
    <w:p w:rsidR="004165E8" w:rsidRDefault="00A108D9">
      <w:pPr>
        <w:widowControl/>
        <w:spacing w:line="480" w:lineRule="exact"/>
        <w:jc w:val="center"/>
        <w:rPr>
          <w:rFonts w:ascii="仿宋_GB2312" w:eastAsia="仿宋_GB2312" w:cs="仿宋_GB2312"/>
          <w:color w:val="000000"/>
          <w:kern w:val="0"/>
          <w:sz w:val="30"/>
          <w:szCs w:val="30"/>
          <w:shd w:val="clear" w:color="auto" w:fill="FFFFFF"/>
          <w:lang w:bidi="ar"/>
        </w:rPr>
      </w:pPr>
      <w:r>
        <w:rPr>
          <w:position w:val="-12"/>
          <w:sz w:val="30"/>
          <w:szCs w:val="30"/>
        </w:rPr>
        <w:object w:dxaOrig="2973" w:dyaOrig="387">
          <v:shape id="_x0000_i1120" type="#_x0000_t75" style="width:148.65pt;height:19.25pt" o:ole="">
            <v:imagedata r:id="rId164" o:title=""/>
          </v:shape>
          <o:OLEObject Type="Embed" ProgID="Equation.DSMT4" ShapeID="_x0000_i1120" DrawAspect="Content" ObjectID="_1765373688" r:id="rId165"/>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若证券化层级相同，则</w:t>
      </w:r>
      <w:r>
        <w:rPr>
          <w:position w:val="-12"/>
          <w:sz w:val="30"/>
          <w:szCs w:val="30"/>
        </w:rPr>
        <w:object w:dxaOrig="853" w:dyaOrig="387">
          <v:shape id="_x0000_i1121" type="#_x0000_t75" style="width:42.75pt;height:19.25pt" o:ole="">
            <v:imagedata r:id="rId166" o:title=""/>
          </v:shape>
          <o:OLEObject Type="Embed" ProgID="Equation.DSMT4" ShapeID="_x0000_i1121" DrawAspect="Content" ObjectID="_1765373689" r:id="rId167"/>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40%</w:t>
      </w:r>
      <w:r>
        <w:rPr>
          <w:rFonts w:ascii="仿宋_GB2312" w:eastAsia="仿宋_GB2312" w:cs="仿宋_GB2312" w:hint="eastAsia"/>
          <w:color w:val="000000"/>
          <w:kern w:val="0"/>
          <w:sz w:val="30"/>
          <w:szCs w:val="30"/>
          <w:shd w:val="clear" w:color="auto" w:fill="FFFFFF"/>
          <w:lang w:bidi="ar"/>
        </w:rPr>
        <w:t>；若期限维度相同，则</w:t>
      </w:r>
      <w:r>
        <w:rPr>
          <w:position w:val="-12"/>
          <w:sz w:val="30"/>
          <w:szCs w:val="30"/>
        </w:rPr>
        <w:object w:dxaOrig="733" w:dyaOrig="387">
          <v:shape id="_x0000_i1122" type="#_x0000_t75" style="width:36.7pt;height:19.25pt" o:ole="">
            <v:imagedata r:id="rId168" o:title=""/>
          </v:shape>
          <o:OLEObject Type="Embed" ProgID="Equation.DSMT4" ShapeID="_x0000_i1122" DrawAspect="Content" ObjectID="_1765373690" r:id="rId169"/>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80%</w:t>
      </w:r>
      <w:r>
        <w:rPr>
          <w:rFonts w:ascii="仿宋_GB2312" w:eastAsia="仿宋_GB2312" w:cs="仿宋_GB2312" w:hint="eastAsia"/>
          <w:color w:val="000000"/>
          <w:kern w:val="0"/>
          <w:sz w:val="30"/>
          <w:szCs w:val="30"/>
          <w:shd w:val="clear" w:color="auto" w:fill="FFFFFF"/>
          <w:lang w:bidi="ar"/>
        </w:rPr>
        <w:t>；</w:t>
      </w:r>
      <w:r>
        <w:rPr>
          <w:rFonts w:ascii="仿宋_GB2312" w:eastAsia="仿宋_GB2312" w:hint="eastAsia"/>
          <w:sz w:val="30"/>
          <w:szCs w:val="30"/>
        </w:rPr>
        <w:t>若同为债券信用利差曲线或同为</w:t>
      </w:r>
      <w:r>
        <w:rPr>
          <w:rFonts w:ascii="仿宋_GB2312" w:eastAsia="仿宋_GB2312" w:hint="eastAsia"/>
          <w:sz w:val="30"/>
          <w:szCs w:val="30"/>
        </w:rPr>
        <w:t>C</w:t>
      </w:r>
      <w:r>
        <w:rPr>
          <w:rFonts w:ascii="仿宋_GB2312" w:eastAsia="仿宋_GB2312"/>
          <w:sz w:val="30"/>
          <w:szCs w:val="30"/>
        </w:rPr>
        <w:t>DS</w:t>
      </w:r>
      <w:r>
        <w:rPr>
          <w:rFonts w:ascii="仿宋_GB2312" w:eastAsia="仿宋_GB2312" w:hint="eastAsia"/>
          <w:sz w:val="30"/>
          <w:szCs w:val="30"/>
        </w:rPr>
        <w:t>信用利差曲线</w:t>
      </w:r>
      <w:r>
        <w:rPr>
          <w:rFonts w:ascii="仿宋_GB2312" w:eastAsia="仿宋_GB2312" w:cs="仿宋_GB2312" w:hint="eastAsia"/>
          <w:color w:val="000000"/>
          <w:kern w:val="0"/>
          <w:sz w:val="30"/>
          <w:szCs w:val="30"/>
          <w:shd w:val="clear" w:color="auto" w:fill="FFFFFF"/>
          <w:lang w:bidi="ar"/>
        </w:rPr>
        <w:t>，则</w:t>
      </w:r>
      <w:r>
        <w:rPr>
          <w:position w:val="-12"/>
          <w:sz w:val="30"/>
          <w:szCs w:val="30"/>
        </w:rPr>
        <w:object w:dxaOrig="693" w:dyaOrig="387">
          <v:shape id="_x0000_i1123" type="#_x0000_t75" style="width:34.55pt;height:19.25pt" o:ole="">
            <v:imagedata r:id="rId170" o:title=""/>
          </v:shape>
          <o:OLEObject Type="Embed" ProgID="Equation.DSMT4" ShapeID="_x0000_i1123" DrawAspect="Content" ObjectID="_1765373691" r:id="rId171"/>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99.90%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25</w:t>
      </w:r>
      <w:r>
        <w:rPr>
          <w:rFonts w:ascii="仿宋_GB2312" w:eastAsia="仿宋_GB2312" w:cs="仿宋_GB2312" w:hint="eastAsia"/>
          <w:color w:val="000000"/>
          <w:kern w:val="0"/>
          <w:sz w:val="30"/>
          <w:szCs w:val="30"/>
          <w:shd w:val="clear" w:color="auto" w:fill="FFFFFF"/>
          <w:lang w:bidi="ar"/>
        </w:rPr>
        <w:t>不适用组内相关系数</w:t>
      </w:r>
      <w:r>
        <w:rPr>
          <w:position w:val="-14"/>
          <w:sz w:val="30"/>
          <w:szCs w:val="30"/>
        </w:rPr>
        <w:object w:dxaOrig="387" w:dyaOrig="387">
          <v:shape id="_x0000_i1124" type="#_x0000_t75" style="width:19.25pt;height:19.25pt" o:ole="">
            <v:imagedata r:id="rId59" o:title=""/>
          </v:shape>
          <o:OLEObject Type="Embed" ProgID="Equation.DSMT4" ShapeID="_x0000_i1124" DrawAspect="Content" ObjectID="_1765373692" r:id="rId172"/>
        </w:objec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25</w:t>
      </w:r>
      <w:r>
        <w:rPr>
          <w:rFonts w:ascii="仿宋_GB2312" w:eastAsia="仿宋_GB2312" w:cs="仿宋_GB2312" w:hint="eastAsia"/>
          <w:color w:val="000000"/>
          <w:kern w:val="0"/>
          <w:sz w:val="30"/>
          <w:szCs w:val="30"/>
          <w:shd w:val="clear" w:color="auto" w:fill="FFFFFF"/>
          <w:lang w:bidi="ar"/>
        </w:rPr>
        <w:t>的得尔塔敏感度</w:t>
      </w:r>
      <w:proofErr w:type="gramStart"/>
      <w:r>
        <w:rPr>
          <w:rFonts w:ascii="仿宋_GB2312" w:eastAsia="仿宋_GB2312" w:cs="仿宋_GB2312" w:hint="eastAsia"/>
          <w:color w:val="000000"/>
          <w:kern w:val="0"/>
          <w:sz w:val="30"/>
          <w:szCs w:val="30"/>
          <w:shd w:val="clear" w:color="auto" w:fill="FFFFFF"/>
          <w:lang w:bidi="ar"/>
        </w:rPr>
        <w:t>和维伽敏感度</w:t>
      </w:r>
      <w:proofErr w:type="gramEnd"/>
      <w:r>
        <w:rPr>
          <w:rFonts w:ascii="仿宋_GB2312" w:eastAsia="仿宋_GB2312" w:cs="仿宋_GB2312" w:hint="eastAsia"/>
          <w:color w:val="000000"/>
          <w:kern w:val="0"/>
          <w:sz w:val="30"/>
          <w:szCs w:val="30"/>
          <w:shd w:val="clear" w:color="auto" w:fill="FFFFFF"/>
          <w:lang w:bidi="ar"/>
        </w:rPr>
        <w:t>风险头寸等于组内</w:t>
      </w:r>
      <w:proofErr w:type="gramStart"/>
      <w:r>
        <w:rPr>
          <w:rFonts w:ascii="仿宋_GB2312" w:eastAsia="仿宋_GB2312" w:cs="仿宋_GB2312" w:hint="eastAsia"/>
          <w:color w:val="000000"/>
          <w:kern w:val="0"/>
          <w:sz w:val="30"/>
          <w:szCs w:val="30"/>
          <w:shd w:val="clear" w:color="auto" w:fill="FFFFFF"/>
          <w:lang w:bidi="ar"/>
        </w:rPr>
        <w:t>各风险</w:t>
      </w:r>
      <w:proofErr w:type="gramEnd"/>
      <w:r>
        <w:rPr>
          <w:rFonts w:ascii="仿宋_GB2312" w:eastAsia="仿宋_GB2312" w:cs="仿宋_GB2312" w:hint="eastAsia"/>
          <w:color w:val="000000"/>
          <w:kern w:val="0"/>
          <w:sz w:val="30"/>
          <w:szCs w:val="30"/>
          <w:shd w:val="clear" w:color="auto" w:fill="FFFFFF"/>
          <w:lang w:bidi="ar"/>
        </w:rPr>
        <w:t>因子加权敏感度的绝对值之和，公式如下：</w:t>
      </w:r>
    </w:p>
    <w:p w:rsidR="004165E8" w:rsidRDefault="00A108D9">
      <w:pPr>
        <w:jc w:val="center"/>
        <w:rPr>
          <w:iCs/>
          <w:sz w:val="30"/>
          <w:szCs w:val="30"/>
        </w:rPr>
      </w:pPr>
      <w:r>
        <w:rPr>
          <w:position w:val="-28"/>
          <w:sz w:val="30"/>
          <w:szCs w:val="30"/>
        </w:rPr>
        <w:object w:dxaOrig="2800" w:dyaOrig="680">
          <v:shape id="_x0000_i1125" type="#_x0000_t75" style="width:140.1pt;height:33.85pt" o:ole="">
            <v:imagedata r:id="rId173" o:title=""/>
          </v:shape>
          <o:OLEObject Type="Embed" ProgID="Equation.DSMT4" ShapeID="_x0000_i1125" DrawAspect="Content" ObjectID="_1765373693" r:id="rId174"/>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25</w:t>
      </w:r>
      <w:r>
        <w:rPr>
          <w:rFonts w:ascii="仿宋_GB2312" w:eastAsia="仿宋_GB2312" w:cs="仿宋_GB2312" w:hint="eastAsia"/>
          <w:color w:val="000000"/>
          <w:kern w:val="0"/>
          <w:sz w:val="30"/>
          <w:szCs w:val="30"/>
          <w:shd w:val="clear" w:color="auto" w:fill="FFFFFF"/>
          <w:lang w:bidi="ar"/>
        </w:rPr>
        <w:t>的曲度敏感度风险头寸的计算公式如下：</w:t>
      </w:r>
    </w:p>
    <w:bookmarkStart w:id="11" w:name="_Hlk81740503"/>
    <w:p w:rsidR="004165E8" w:rsidRDefault="00A108D9">
      <w:pPr>
        <w:widowControl/>
        <w:jc w:val="center"/>
        <w:rPr>
          <w:i/>
          <w:sz w:val="30"/>
          <w:szCs w:val="30"/>
        </w:rPr>
      </w:pPr>
      <w:r>
        <w:rPr>
          <w:position w:val="-24"/>
          <w:sz w:val="30"/>
          <w:szCs w:val="30"/>
        </w:rPr>
        <w:object w:dxaOrig="5533" w:dyaOrig="627">
          <v:shape id="_x0000_i1126" type="#_x0000_t75" style="width:276.6pt;height:31.35pt" o:ole="">
            <v:imagedata r:id="rId175" o:title=""/>
          </v:shape>
          <o:OLEObject Type="Embed" ProgID="Equation.DSMT4" ShapeID="_x0000_i1126" DrawAspect="Content" ObjectID="_1765373694" r:id="rId176"/>
        </w:object>
      </w:r>
    </w:p>
    <w:bookmarkEnd w:id="11"/>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）计算得尔塔敏感度、</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hint="eastAsia"/>
          <w:sz w:val="30"/>
          <w:szCs w:val="30"/>
        </w:rPr>
        <w:t>要求时，</w:t>
      </w:r>
      <w:r>
        <w:rPr>
          <w:rFonts w:ascii="仿宋_GB2312" w:eastAsia="仿宋_GB2312" w:cs="仿宋_GB2312" w:hint="eastAsia"/>
          <w:color w:val="000000"/>
          <w:kern w:val="0"/>
          <w:sz w:val="30"/>
          <w:szCs w:val="30"/>
          <w:shd w:val="clear" w:color="auto" w:fill="FFFFFF"/>
          <w:lang w:bidi="ar"/>
        </w:rPr>
        <w:t>不同风险组之间的相关系数</w:t>
      </w:r>
      <w:r>
        <w:rPr>
          <w:position w:val="-12"/>
          <w:sz w:val="30"/>
          <w:szCs w:val="30"/>
        </w:rPr>
        <w:object w:dxaOrig="333" w:dyaOrig="333">
          <v:shape id="_x0000_i1127" type="#_x0000_t75" style="width:16.75pt;height:16.75pt" o:ole="">
            <v:imagedata r:id="rId18" o:title=""/>
          </v:shape>
          <o:OLEObject Type="Embed" ProgID="Equation.DSMT4" ShapeID="_x0000_i1127" DrawAspect="Content" ObjectID="_1765373695" r:id="rId177"/>
        </w:object>
      </w:r>
      <w:r>
        <w:rPr>
          <w:rFonts w:ascii="仿宋_GB2312" w:eastAsia="仿宋_GB2312" w:hint="eastAsia"/>
          <w:sz w:val="30"/>
          <w:szCs w:val="30"/>
        </w:rPr>
        <w:t>如下：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风险组</w:t>
      </w:r>
      <w:r>
        <w:rPr>
          <w:rFonts w:ascii="仿宋_GB2312" w:eastAsia="仿宋_GB2312" w:hint="eastAsia"/>
          <w:sz w:val="30"/>
          <w:szCs w:val="30"/>
        </w:rPr>
        <w:t>1</w:t>
      </w:r>
      <w:r>
        <w:rPr>
          <w:rFonts w:ascii="仿宋_GB2312" w:eastAsia="仿宋_GB2312" w:hint="eastAsia"/>
          <w:sz w:val="30"/>
          <w:szCs w:val="30"/>
        </w:rPr>
        <w:t>至</w:t>
      </w:r>
      <w:r>
        <w:rPr>
          <w:rFonts w:ascii="仿宋_GB2312" w:eastAsia="仿宋_GB2312" w:hint="eastAsia"/>
          <w:sz w:val="30"/>
          <w:szCs w:val="30"/>
        </w:rPr>
        <w:t>24</w:t>
      </w:r>
      <w:r>
        <w:rPr>
          <w:rFonts w:ascii="仿宋_GB2312" w:eastAsia="仿宋_GB2312" w:hint="eastAsia"/>
          <w:sz w:val="30"/>
          <w:szCs w:val="30"/>
        </w:rPr>
        <w:t>的相关系数</w:t>
      </w:r>
      <w:r>
        <w:rPr>
          <w:position w:val="-12"/>
          <w:sz w:val="30"/>
          <w:szCs w:val="30"/>
        </w:rPr>
        <w:object w:dxaOrig="333" w:dyaOrig="333">
          <v:shape id="_x0000_i1128" type="#_x0000_t75" style="width:16.75pt;height:16.75pt" o:ole="">
            <v:imagedata r:id="rId18" o:title=""/>
          </v:shape>
          <o:OLEObject Type="Embed" ProgID="Equation.DSMT4" ShapeID="_x0000_i1128" DrawAspect="Content" ObjectID="_1765373696" r:id="rId178"/>
        </w:object>
      </w:r>
      <w:r>
        <w:rPr>
          <w:rFonts w:ascii="仿宋_GB2312" w:eastAsia="仿宋_GB2312" w:hint="eastAsia"/>
          <w:sz w:val="30"/>
          <w:szCs w:val="30"/>
        </w:rPr>
        <w:t>为</w:t>
      </w:r>
      <w:r>
        <w:rPr>
          <w:rFonts w:ascii="仿宋_GB2312" w:eastAsia="仿宋_GB2312" w:hint="eastAsia"/>
          <w:sz w:val="30"/>
          <w:szCs w:val="30"/>
        </w:rPr>
        <w:t>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b</w:t>
      </w:r>
      <w:r>
        <w:rPr>
          <w:rFonts w:ascii="仿宋_GB2312" w:eastAsia="仿宋_GB2312"/>
          <w:sz w:val="30"/>
          <w:szCs w:val="30"/>
        </w:rPr>
        <w:t>.</w:t>
      </w:r>
      <w:r>
        <w:rPr>
          <w:rFonts w:ascii="仿宋_GB2312" w:eastAsia="仿宋_GB2312" w:hint="eastAsia"/>
          <w:sz w:val="30"/>
          <w:szCs w:val="30"/>
        </w:rPr>
        <w:t>风险组</w:t>
      </w:r>
      <w:r>
        <w:rPr>
          <w:rFonts w:ascii="仿宋_GB2312" w:eastAsia="仿宋_GB2312"/>
          <w:sz w:val="30"/>
          <w:szCs w:val="30"/>
        </w:rPr>
        <w:t>1</w:t>
      </w:r>
      <w:r>
        <w:rPr>
          <w:rFonts w:ascii="仿宋_GB2312" w:eastAsia="仿宋_GB2312" w:hint="eastAsia"/>
          <w:sz w:val="30"/>
          <w:szCs w:val="30"/>
        </w:rPr>
        <w:t>至</w:t>
      </w:r>
      <w:r>
        <w:rPr>
          <w:rFonts w:ascii="仿宋_GB2312" w:eastAsia="仿宋_GB2312"/>
          <w:sz w:val="30"/>
          <w:szCs w:val="30"/>
        </w:rPr>
        <w:t>24</w:t>
      </w:r>
      <w:r>
        <w:rPr>
          <w:rFonts w:ascii="仿宋_GB2312" w:eastAsia="仿宋_GB2312" w:hint="eastAsia"/>
          <w:sz w:val="30"/>
          <w:szCs w:val="30"/>
        </w:rPr>
        <w:t>的组间加总资本要求与风险组</w:t>
      </w:r>
      <w:r>
        <w:rPr>
          <w:rFonts w:ascii="仿宋_GB2312" w:eastAsia="仿宋_GB2312"/>
          <w:sz w:val="30"/>
          <w:szCs w:val="30"/>
        </w:rPr>
        <w:t>25</w:t>
      </w:r>
      <w:r>
        <w:rPr>
          <w:rFonts w:ascii="仿宋_GB2312" w:eastAsia="仿宋_GB2312" w:hint="eastAsia"/>
          <w:sz w:val="30"/>
          <w:szCs w:val="30"/>
        </w:rPr>
        <w:t>的资本要求简单加总，得到该敏感度的总资本要求。简单加总无需考虑分散或对冲效应。</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lastRenderedPageBreak/>
        <w:t>（</w:t>
      </w:r>
      <w:r>
        <w:rPr>
          <w:rFonts w:ascii="仿宋_GB2312" w:eastAsia="仿宋_GB2312" w:cs="仿宋_GB2312" w:hint="eastAsia"/>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hint="eastAsia"/>
          <w:sz w:val="30"/>
          <w:szCs w:val="30"/>
        </w:rPr>
        <w:t>的</w:t>
      </w:r>
      <w:r>
        <w:rPr>
          <w:rFonts w:ascii="仿宋_GB2312" w:eastAsia="仿宋_GB2312" w:cs="仿宋_GB2312" w:hint="eastAsia"/>
          <w:color w:val="000000"/>
          <w:kern w:val="0"/>
          <w:sz w:val="30"/>
          <w:szCs w:val="30"/>
          <w:shd w:val="clear" w:color="auto" w:fill="FFFFFF"/>
          <w:lang w:bidi="ar"/>
        </w:rPr>
        <w:t>风险权重为</w:t>
      </w:r>
      <w:r>
        <w:rPr>
          <w:rFonts w:ascii="仿宋_GB2312" w:eastAsia="仿宋_GB2312" w:cs="仿宋_GB2312" w:hint="eastAsia"/>
          <w:color w:val="000000"/>
          <w:kern w:val="0"/>
          <w:sz w:val="30"/>
          <w:szCs w:val="30"/>
          <w:shd w:val="clear" w:color="auto" w:fill="FFFFFF"/>
          <w:lang w:bidi="ar"/>
        </w:rPr>
        <w:t>100%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计算维伽敏感度</w:t>
      </w:r>
      <w:proofErr w:type="gramEnd"/>
      <w:r>
        <w:rPr>
          <w:rFonts w:ascii="仿宋_GB2312" w:eastAsia="仿宋_GB2312" w:cs="仿宋_GB2312" w:hint="eastAsia"/>
          <w:color w:val="000000"/>
          <w:kern w:val="0"/>
          <w:sz w:val="30"/>
          <w:szCs w:val="30"/>
          <w:shd w:val="clear" w:color="auto" w:fill="FFFFFF"/>
          <w:lang w:bidi="ar"/>
        </w:rPr>
        <w:t>风险头寸时，同一个风险组内的相关系数</w:t>
      </w:r>
      <w:r>
        <w:rPr>
          <w:position w:val="-14"/>
          <w:sz w:val="30"/>
          <w:szCs w:val="30"/>
        </w:rPr>
        <w:object w:dxaOrig="387" w:dyaOrig="387">
          <v:shape id="_x0000_i1129" type="#_x0000_t75" style="width:19.25pt;height:19.25pt" o:ole="">
            <v:imagedata r:id="rId59" o:title=""/>
          </v:shape>
          <o:OLEObject Type="Embed" ProgID="Equation.DSMT4" ShapeID="_x0000_i1129" DrawAspect="Content" ObjectID="_1765373697" r:id="rId179"/>
        </w:object>
      </w:r>
      <w:r>
        <w:rPr>
          <w:rFonts w:ascii="仿宋_GB2312" w:eastAsia="仿宋_GB2312" w:hint="eastAsia"/>
          <w:sz w:val="30"/>
          <w:szCs w:val="30"/>
        </w:rPr>
        <w:t>计算公式详见本附件第二部分（五）</w:t>
      </w:r>
      <w:r>
        <w:rPr>
          <w:rFonts w:ascii="仿宋_GB2312" w:eastAsia="仿宋_GB2312"/>
          <w:sz w:val="30"/>
          <w:szCs w:val="30"/>
        </w:rPr>
        <w:t>3</w:t>
      </w:r>
      <w:r>
        <w:rPr>
          <w:rFonts w:ascii="仿宋_GB2312" w:eastAsia="仿宋_GB2312" w:hint="eastAsia"/>
          <w:sz w:val="30"/>
          <w:szCs w:val="30"/>
        </w:rPr>
        <w:t>。其中，</w:t>
      </w:r>
      <w:r>
        <w:rPr>
          <w:position w:val="-12"/>
          <w:sz w:val="30"/>
          <w:szCs w:val="30"/>
        </w:rPr>
        <w:object w:dxaOrig="893" w:dyaOrig="387">
          <v:shape id="_x0000_i1130" type="#_x0000_t75" style="width:44.55pt;height:19.25pt" o:ole="">
            <v:imagedata r:id="rId180" o:title=""/>
          </v:shape>
          <o:OLEObject Type="Embed" ProgID="Equation.DSMT4" ShapeID="_x0000_i1130" DrawAspect="Content" ObjectID="_1765373698" r:id="rId181"/>
        </w:object>
      </w:r>
      <w:r>
        <w:rPr>
          <w:rFonts w:ascii="仿宋_GB2312" w:eastAsia="仿宋_GB2312" w:hint="eastAsia"/>
          <w:sz w:val="30"/>
          <w:szCs w:val="30"/>
        </w:rPr>
        <w:t>是</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因子与得尔塔风险因子的维度交集所对应的相关系数</w:t>
      </w:r>
      <w:r>
        <w:rPr>
          <w:position w:val="-12"/>
          <w:sz w:val="30"/>
          <w:szCs w:val="30"/>
        </w:rPr>
        <w:object w:dxaOrig="853" w:dyaOrig="387">
          <v:shape id="_x0000_i1131" type="#_x0000_t75" style="width:42.75pt;height:19.25pt" o:ole="">
            <v:imagedata r:id="rId182" o:title=""/>
          </v:shape>
          <o:OLEObject Type="Embed" ProgID="Equation.DSMT4" ShapeID="_x0000_i1131" DrawAspect="Content" ObjectID="_1765373699" r:id="rId183"/>
        </w:object>
      </w:r>
      <w:r>
        <w:rPr>
          <w:rFonts w:hint="eastAsia"/>
          <w:sz w:val="30"/>
          <w:szCs w:val="30"/>
        </w:rPr>
        <w:t>。</w:t>
      </w:r>
      <w:r>
        <w:rPr>
          <w:rFonts w:ascii="仿宋_GB2312" w:eastAsia="仿宋_GB2312"/>
          <w:sz w:val="30"/>
          <w:szCs w:val="30"/>
        </w:rPr>
        <w:t xml:space="preserve"> </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）曲度敏感度的风险权重是给定风险因子的冲击幅度，等于对应的得尔塔风险权重。</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9</w:t>
      </w:r>
      <w:r>
        <w:rPr>
          <w:rFonts w:ascii="仿宋_GB2312" w:eastAsia="仿宋_GB2312" w:cs="仿宋_GB2312" w:hint="eastAsia"/>
          <w:color w:val="000000"/>
          <w:kern w:val="0"/>
          <w:sz w:val="30"/>
          <w:szCs w:val="30"/>
          <w:shd w:val="clear" w:color="auto" w:fill="FFFFFF"/>
          <w:lang w:bidi="ar"/>
        </w:rPr>
        <w:t>）计算曲度敏感度风险头寸时，若两个风险因子的证券化工具层级相同，则组内相关系数</w:t>
      </w:r>
      <w:r>
        <w:rPr>
          <w:position w:val="-14"/>
          <w:sz w:val="30"/>
          <w:szCs w:val="30"/>
        </w:rPr>
        <w:object w:dxaOrig="387" w:dyaOrig="387">
          <v:shape id="_x0000_i1132" type="#_x0000_t75" style="width:19.25pt;height:19.25pt" o:ole="">
            <v:imagedata r:id="rId59" o:title=""/>
          </v:shape>
          <o:OLEObject Type="Embed" ProgID="Equation.DSMT4" ShapeID="_x0000_i1132" DrawAspect="Content" ObjectID="_1765373700" r:id="rId184"/>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position w:val="-12"/>
          <w:sz w:val="30"/>
          <w:szCs w:val="30"/>
        </w:rPr>
        <w:object w:dxaOrig="853" w:dyaOrig="387">
          <v:shape id="_x0000_i1133" type="#_x0000_t75" style="width:42.75pt;height:19.25pt" o:ole="">
            <v:imagedata r:id="rId185" o:title=""/>
          </v:shape>
          <o:OLEObject Type="Embed" ProgID="Equation.DSMT4" ShapeID="_x0000_i1133" DrawAspect="Content" ObjectID="_1765373701" r:id="rId186"/>
        </w:object>
      </w:r>
      <w:r>
        <w:rPr>
          <w:rFonts w:ascii="仿宋_GB2312" w:eastAsia="仿宋_GB2312" w:cs="仿宋_GB2312" w:hint="eastAsia"/>
          <w:color w:val="000000"/>
          <w:kern w:val="0"/>
          <w:sz w:val="30"/>
          <w:szCs w:val="30"/>
          <w:shd w:val="clear" w:color="auto" w:fill="FFFFFF"/>
          <w:lang w:bidi="ar"/>
        </w:rPr>
        <w:t>的平方</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10</w:t>
      </w:r>
      <w:r>
        <w:rPr>
          <w:rFonts w:ascii="仿宋_GB2312" w:eastAsia="仿宋_GB2312" w:cs="仿宋_GB2312" w:hint="eastAsia"/>
          <w:color w:val="000000"/>
          <w:kern w:val="0"/>
          <w:sz w:val="30"/>
          <w:szCs w:val="30"/>
          <w:shd w:val="clear" w:color="auto" w:fill="FFFFFF"/>
          <w:lang w:bidi="ar"/>
        </w:rPr>
        <w:t>）计算曲度敏感度资本要求时，不同风险组之间相关系数</w:t>
      </w:r>
      <w:r>
        <w:rPr>
          <w:position w:val="-12"/>
          <w:sz w:val="30"/>
          <w:szCs w:val="30"/>
        </w:rPr>
        <w:object w:dxaOrig="333" w:dyaOrig="333">
          <v:shape id="_x0000_i1134" type="#_x0000_t75" style="width:16.75pt;height:16.75pt" o:ole="">
            <v:imagedata r:id="rId18" o:title=""/>
          </v:shape>
          <o:OLEObject Type="Embed" ProgID="Equation.DSMT4" ShapeID="_x0000_i1134" DrawAspect="Content" ObjectID="_1765373702" r:id="rId187"/>
        </w:object>
      </w:r>
      <w:r>
        <w:rPr>
          <w:rFonts w:ascii="仿宋_GB2312" w:eastAsia="仿宋_GB2312" w:cs="仿宋_GB2312" w:hint="eastAsia"/>
          <w:color w:val="000000"/>
          <w:kern w:val="0"/>
          <w:sz w:val="30"/>
          <w:szCs w:val="30"/>
          <w:shd w:val="clear" w:color="auto" w:fill="FFFFFF"/>
          <w:lang w:bidi="ar"/>
        </w:rPr>
        <w:t>为对应的得尔塔相关系数</w:t>
      </w:r>
      <w:r>
        <w:rPr>
          <w:position w:val="-12"/>
          <w:sz w:val="30"/>
          <w:szCs w:val="30"/>
        </w:rPr>
        <w:object w:dxaOrig="333" w:dyaOrig="333">
          <v:shape id="_x0000_i1135" type="#_x0000_t75" style="width:16.75pt;height:16.75pt" o:ole="">
            <v:imagedata r:id="rId18" o:title=""/>
          </v:shape>
          <o:OLEObject Type="Embed" ProgID="Equation.DSMT4" ShapeID="_x0000_i1135" DrawAspect="Content" ObjectID="_1765373703" r:id="rId188"/>
        </w:object>
      </w:r>
      <w:r>
        <w:rPr>
          <w:rFonts w:ascii="仿宋_GB2312" w:eastAsia="仿宋_GB2312" w:cs="仿宋_GB2312" w:hint="eastAsia"/>
          <w:color w:val="000000"/>
          <w:kern w:val="0"/>
          <w:sz w:val="30"/>
          <w:szCs w:val="30"/>
          <w:shd w:val="clear" w:color="auto" w:fill="FFFFFF"/>
          <w:lang w:bidi="ar"/>
        </w:rPr>
        <w:t>的平方。风险组</w:t>
      </w:r>
      <w:r>
        <w:rPr>
          <w:rFonts w:ascii="仿宋_GB2312" w:eastAsia="仿宋_GB2312" w:cs="仿宋_GB2312" w:hint="eastAsia"/>
          <w:color w:val="000000"/>
          <w:kern w:val="0"/>
          <w:sz w:val="30"/>
          <w:szCs w:val="30"/>
          <w:shd w:val="clear" w:color="auto" w:fill="FFFFFF"/>
          <w:lang w:bidi="ar"/>
        </w:rPr>
        <w:t>1</w:t>
      </w:r>
      <w:proofErr w:type="gramStart"/>
      <w:r>
        <w:rPr>
          <w:rFonts w:ascii="仿宋_GB2312" w:eastAsia="仿宋_GB2312" w:cs="仿宋_GB2312" w:hint="eastAsia"/>
          <w:color w:val="000000"/>
          <w:kern w:val="0"/>
          <w:sz w:val="30"/>
          <w:szCs w:val="30"/>
          <w:shd w:val="clear" w:color="auto" w:fill="FFFFFF"/>
          <w:lang w:bidi="ar"/>
        </w:rPr>
        <w:t>至风险组</w:t>
      </w:r>
      <w:proofErr w:type="gramEnd"/>
      <w:r>
        <w:rPr>
          <w:rFonts w:ascii="仿宋_GB2312" w:eastAsia="仿宋_GB2312" w:cs="仿宋_GB2312" w:hint="eastAsia"/>
          <w:color w:val="000000"/>
          <w:kern w:val="0"/>
          <w:sz w:val="30"/>
          <w:szCs w:val="30"/>
          <w:shd w:val="clear" w:color="auto" w:fill="FFFFFF"/>
          <w:lang w:bidi="ar"/>
        </w:rPr>
        <w:t>24</w:t>
      </w:r>
      <w:r>
        <w:rPr>
          <w:rFonts w:ascii="仿宋_GB2312" w:eastAsia="仿宋_GB2312" w:cs="仿宋_GB2312" w:hint="eastAsia"/>
          <w:color w:val="000000"/>
          <w:kern w:val="0"/>
          <w:sz w:val="30"/>
          <w:szCs w:val="30"/>
          <w:shd w:val="clear" w:color="auto" w:fill="FFFFFF"/>
          <w:lang w:bidi="ar"/>
        </w:rPr>
        <w:t>的组间加总资本要求与风险组</w:t>
      </w:r>
      <w:r>
        <w:rPr>
          <w:rFonts w:ascii="仿宋_GB2312" w:eastAsia="仿宋_GB2312" w:cs="仿宋_GB2312" w:hint="eastAsia"/>
          <w:color w:val="000000"/>
          <w:kern w:val="0"/>
          <w:sz w:val="30"/>
          <w:szCs w:val="30"/>
          <w:shd w:val="clear" w:color="auto" w:fill="FFFFFF"/>
          <w:lang w:bidi="ar"/>
        </w:rPr>
        <w:t>25</w:t>
      </w:r>
      <w:r>
        <w:rPr>
          <w:rFonts w:ascii="仿宋_GB2312" w:eastAsia="仿宋_GB2312" w:cs="仿宋_GB2312" w:hint="eastAsia"/>
          <w:color w:val="000000"/>
          <w:kern w:val="0"/>
          <w:sz w:val="30"/>
          <w:szCs w:val="30"/>
          <w:shd w:val="clear" w:color="auto" w:fill="FFFFFF"/>
          <w:lang w:bidi="ar"/>
        </w:rPr>
        <w:t>的资本要求简单加总，得到该敏感度的总资本要求。简单加总无需考虑分散或对冲效应。</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（七）相关性交易组合证券化信用利差风险</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风险因子</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）得尔塔风险因子由基础资产的信用利差曲线（债券和</w:t>
      </w:r>
      <w:r>
        <w:rPr>
          <w:rFonts w:ascii="仿宋_GB2312" w:eastAsia="仿宋_GB2312" w:hint="eastAsia"/>
          <w:sz w:val="30"/>
          <w:szCs w:val="30"/>
        </w:rPr>
        <w:t>C</w:t>
      </w:r>
      <w:r>
        <w:rPr>
          <w:rFonts w:ascii="仿宋_GB2312" w:eastAsia="仿宋_GB2312"/>
          <w:sz w:val="30"/>
          <w:szCs w:val="30"/>
        </w:rPr>
        <w:t>DS</w:t>
      </w:r>
      <w:r>
        <w:rPr>
          <w:rFonts w:ascii="仿宋_GB2312" w:eastAsia="仿宋_GB2312" w:hint="eastAsia"/>
          <w:sz w:val="30"/>
          <w:szCs w:val="30"/>
        </w:rPr>
        <w:t>）和期限确定。期限为</w:t>
      </w:r>
      <w:r>
        <w:rPr>
          <w:rFonts w:ascii="仿宋_GB2312" w:eastAsia="仿宋_GB2312" w:hint="eastAsia"/>
          <w:sz w:val="30"/>
          <w:szCs w:val="30"/>
        </w:rPr>
        <w:t>0.5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因子是基于期权剩余期限的期权隐含波动率。期权的基础资产是</w:t>
      </w:r>
      <w:r>
        <w:rPr>
          <w:rFonts w:ascii="仿宋_GB2312" w:eastAsia="仿宋_GB2312" w:cs="仿宋_GB2312" w:hint="eastAsia"/>
          <w:color w:val="000000"/>
          <w:kern w:val="0"/>
          <w:sz w:val="30"/>
          <w:szCs w:val="30"/>
          <w:shd w:val="clear" w:color="auto" w:fill="FFFFFF"/>
          <w:lang w:bidi="ar"/>
        </w:rPr>
        <w:t>相关性交易组合信用利差相关的证券化工具</w:t>
      </w:r>
      <w:r>
        <w:rPr>
          <w:rFonts w:ascii="仿宋_GB2312" w:eastAsia="仿宋_GB2312" w:hint="eastAsia"/>
          <w:sz w:val="30"/>
          <w:szCs w:val="30"/>
        </w:rPr>
        <w:t>。期限为</w:t>
      </w:r>
      <w:r>
        <w:rPr>
          <w:rFonts w:ascii="仿宋_GB2312" w:eastAsia="仿宋_GB2312"/>
          <w:sz w:val="30"/>
          <w:szCs w:val="30"/>
        </w:rPr>
        <w:t>0.</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）曲度风险因子是基础资产的信用利差曲线。</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敏感度</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）得尔塔敏感度与非证券化信用利差风险得尔塔敏感度计算方式一致，详见本附件第二部分（五）</w:t>
      </w:r>
      <w:r>
        <w:rPr>
          <w:rFonts w:ascii="仿宋_GB2312" w:eastAsia="仿宋_GB2312"/>
          <w:sz w:val="30"/>
          <w:szCs w:val="30"/>
        </w:rPr>
        <w:t>2</w:t>
      </w:r>
      <w:r>
        <w:rPr>
          <w:rFonts w:ascii="仿宋_GB2312" w:eastAsia="仿宋_GB2312" w:hint="eastAsia"/>
          <w:sz w:val="30"/>
          <w:szCs w:val="30"/>
        </w:rPr>
        <w:t>。敏感度应基于证券化基础资产的利差或第</w:t>
      </w:r>
      <w:r>
        <w:rPr>
          <w:rFonts w:ascii="仿宋_GB2312" w:eastAsia="仿宋_GB2312"/>
          <w:sz w:val="30"/>
          <w:szCs w:val="30"/>
        </w:rPr>
        <w:t>N</w:t>
      </w:r>
      <w:r>
        <w:rPr>
          <w:rFonts w:ascii="仿宋_GB2312" w:eastAsia="仿宋_GB2312" w:hint="eastAsia"/>
          <w:sz w:val="30"/>
          <w:szCs w:val="30"/>
        </w:rPr>
        <w:t>次违约工具的利差。</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维伽敏感度</w:t>
      </w:r>
      <w:proofErr w:type="gramEnd"/>
      <w:r>
        <w:rPr>
          <w:rFonts w:ascii="仿宋_GB2312" w:eastAsia="仿宋_GB2312" w:cs="仿宋_GB2312" w:hint="eastAsia"/>
          <w:color w:val="000000"/>
          <w:kern w:val="0"/>
          <w:sz w:val="30"/>
          <w:szCs w:val="30"/>
          <w:shd w:val="clear" w:color="auto" w:fill="FFFFFF"/>
          <w:lang w:bidi="ar"/>
        </w:rPr>
        <w:t>的计算详见</w:t>
      </w:r>
      <w:r>
        <w:rPr>
          <w:rFonts w:ascii="仿宋_GB2312" w:eastAsia="仿宋_GB2312" w:hint="eastAsia"/>
          <w:sz w:val="30"/>
          <w:szCs w:val="30"/>
        </w:rPr>
        <w:t>本附件第二部分（四）</w:t>
      </w:r>
      <w:r>
        <w:rPr>
          <w:rFonts w:ascii="仿宋_GB2312" w:eastAsia="仿宋_GB2312"/>
          <w:sz w:val="30"/>
          <w:szCs w:val="30"/>
        </w:rPr>
        <w:t>2</w:t>
      </w:r>
      <w:r>
        <w:rPr>
          <w:rFonts w:ascii="仿宋_GB2312" w:eastAsia="仿宋_GB2312" w:hint="eastAsia"/>
          <w:sz w:val="30"/>
          <w:szCs w:val="30"/>
        </w:rPr>
        <w:t>。若相</w:t>
      </w:r>
      <w:r>
        <w:rPr>
          <w:rFonts w:ascii="仿宋_GB2312" w:eastAsia="仿宋_GB2312" w:hint="eastAsia"/>
          <w:sz w:val="30"/>
          <w:szCs w:val="30"/>
        </w:rPr>
        <w:lastRenderedPageBreak/>
        <w:t>关性交易组合证券化产品无隐含波动率，无需计算</w:t>
      </w:r>
      <w:proofErr w:type="gramStart"/>
      <w:r>
        <w:rPr>
          <w:rFonts w:ascii="仿宋_GB2312" w:eastAsia="仿宋_GB2312" w:hint="eastAsia"/>
          <w:sz w:val="30"/>
          <w:szCs w:val="30"/>
        </w:rPr>
        <w:t>维伽资本</w:t>
      </w:r>
      <w:proofErr w:type="gramEnd"/>
      <w:r>
        <w:rPr>
          <w:rFonts w:ascii="仿宋_GB2312" w:eastAsia="仿宋_GB2312" w:hint="eastAsia"/>
          <w:sz w:val="30"/>
          <w:szCs w:val="30"/>
        </w:rPr>
        <w:t>要求。</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）曲度敏感度计算详见本附件第二部分（二）。</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3</w:t>
      </w:r>
      <w:r>
        <w:rPr>
          <w:rFonts w:ascii="仿宋_GB2312" w:eastAsia="仿宋_GB2312" w:hAnsi="黑体" w:hint="eastAsia"/>
          <w:bCs/>
          <w:sz w:val="30"/>
          <w:szCs w:val="30"/>
        </w:rPr>
        <w:t>.</w:t>
      </w:r>
      <w:r>
        <w:rPr>
          <w:rFonts w:ascii="仿宋_GB2312" w:eastAsia="仿宋_GB2312" w:hAnsi="黑体"/>
          <w:bCs/>
          <w:sz w:val="30"/>
          <w:szCs w:val="30"/>
        </w:rPr>
        <w:t>风险组、风险权重、相关系数</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）相关性交易组合证券化信用利差风险组以信用水平和行业分类维度划分，与非证券化信用利差风险组的风险组</w:t>
      </w:r>
      <w:r>
        <w:rPr>
          <w:rFonts w:ascii="仿宋_GB2312" w:eastAsia="仿宋_GB2312" w:cs="仿宋_GB2312" w:hint="eastAsia"/>
          <w:color w:val="000000"/>
          <w:kern w:val="0"/>
          <w:sz w:val="30"/>
          <w:szCs w:val="30"/>
          <w:shd w:val="clear" w:color="auto" w:fill="FFFFFF"/>
          <w:lang w:bidi="ar"/>
        </w:rPr>
        <w:t>1</w:t>
      </w:r>
      <w:proofErr w:type="gramStart"/>
      <w:r>
        <w:rPr>
          <w:rFonts w:ascii="仿宋_GB2312" w:eastAsia="仿宋_GB2312" w:cs="仿宋_GB2312" w:hint="eastAsia"/>
          <w:color w:val="000000"/>
          <w:kern w:val="0"/>
          <w:sz w:val="30"/>
          <w:szCs w:val="30"/>
          <w:shd w:val="clear" w:color="auto" w:fill="FFFFFF"/>
          <w:lang w:bidi="ar"/>
        </w:rPr>
        <w:t>至风险组</w:t>
      </w:r>
      <w:proofErr w:type="gramEnd"/>
      <w:r>
        <w:rPr>
          <w:rFonts w:ascii="仿宋_GB2312" w:eastAsia="仿宋_GB2312" w:cs="仿宋_GB2312" w:hint="eastAsia"/>
          <w:color w:val="000000"/>
          <w:kern w:val="0"/>
          <w:sz w:val="30"/>
          <w:szCs w:val="30"/>
          <w:shd w:val="clear" w:color="auto" w:fill="FFFFFF"/>
          <w:lang w:bidi="ar"/>
        </w:rPr>
        <w:t>16</w:t>
      </w:r>
      <w:r>
        <w:rPr>
          <w:rFonts w:ascii="仿宋_GB2312" w:eastAsia="仿宋_GB2312" w:cs="仿宋_GB2312" w:hint="eastAsia"/>
          <w:color w:val="000000"/>
          <w:kern w:val="0"/>
          <w:sz w:val="30"/>
          <w:szCs w:val="30"/>
          <w:shd w:val="clear" w:color="auto" w:fill="FFFFFF"/>
          <w:lang w:bidi="ar"/>
        </w:rPr>
        <w:t>一致，详见本附件第二部分（五）</w:t>
      </w:r>
      <w:r>
        <w:rPr>
          <w:rFonts w:ascii="仿宋_GB2312" w:eastAsia="仿宋_GB2312" w:cs="仿宋_GB2312"/>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。商业银行应将风险暴露划分到对应的风险组。</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）得尔塔敏感度风险权重见表</w:t>
      </w:r>
      <w:r>
        <w:rPr>
          <w:rFonts w:ascii="仿宋_GB2312" w:eastAsia="仿宋_GB2312" w:cs="仿宋_GB2312"/>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。同一风险组内不同期限的风险权重相同。</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b/>
          <w:sz w:val="28"/>
          <w:szCs w:val="28"/>
        </w:rPr>
        <w:t xml:space="preserve">8 </w:t>
      </w:r>
      <w:r>
        <w:rPr>
          <w:rFonts w:ascii="楷体_GB2312" w:eastAsia="楷体_GB2312" w:hint="eastAsia"/>
          <w:b/>
          <w:sz w:val="28"/>
          <w:szCs w:val="28"/>
        </w:rPr>
        <w:t>相关性交易组合证券化信用利差得尔塔敏感度的风险权重</w:t>
      </w:r>
    </w:p>
    <w:tbl>
      <w:tblPr>
        <w:tblW w:w="5327"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342"/>
      </w:tblGrid>
      <w:tr w:rsidR="004165E8">
        <w:tc>
          <w:tcPr>
            <w:tcW w:w="1985" w:type="dxa"/>
          </w:tcPr>
          <w:p w:rsidR="004165E8" w:rsidRDefault="00A108D9">
            <w:pPr>
              <w:jc w:val="center"/>
              <w:rPr>
                <w:rFonts w:ascii="宋体" w:hAnsi="宋体" w:cs="宋体"/>
                <w:b/>
                <w:bCs/>
                <w:color w:val="000000"/>
                <w:sz w:val="24"/>
              </w:rPr>
            </w:pPr>
            <w:r>
              <w:rPr>
                <w:rFonts w:ascii="宋体" w:hAnsi="宋体" w:cs="宋体" w:hint="eastAsia"/>
                <w:b/>
                <w:bCs/>
                <w:color w:val="000000"/>
                <w:sz w:val="24"/>
              </w:rPr>
              <w:t>风险组序号</w:t>
            </w:r>
          </w:p>
        </w:tc>
        <w:tc>
          <w:tcPr>
            <w:tcW w:w="3342" w:type="dxa"/>
          </w:tcPr>
          <w:p w:rsidR="004165E8" w:rsidRDefault="00A108D9">
            <w:pPr>
              <w:jc w:val="center"/>
              <w:rPr>
                <w:rFonts w:ascii="宋体" w:hAnsi="宋体" w:cs="宋体"/>
                <w:b/>
                <w:bCs/>
                <w:color w:val="000000"/>
                <w:sz w:val="24"/>
              </w:rPr>
            </w:pPr>
            <w:r>
              <w:rPr>
                <w:rFonts w:ascii="宋体" w:hAnsi="宋体" w:cs="宋体" w:hint="eastAsia"/>
                <w:b/>
                <w:bCs/>
                <w:color w:val="000000"/>
                <w:sz w:val="24"/>
              </w:rPr>
              <w:t>风险权重</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2</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3</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4</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5</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6</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7</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8</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9</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13.0%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10</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13.0%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11</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16.0%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12</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13</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14</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15</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12.0%</w:t>
            </w:r>
          </w:p>
        </w:tc>
      </w:tr>
      <w:tr w:rsidR="004165E8">
        <w:trPr>
          <w:trHeight w:val="90"/>
        </w:trPr>
        <w:tc>
          <w:tcPr>
            <w:tcW w:w="1985" w:type="dxa"/>
            <w:vAlign w:val="center"/>
          </w:tcPr>
          <w:p w:rsidR="004165E8" w:rsidRDefault="00A108D9">
            <w:pPr>
              <w:autoSpaceDE w:val="0"/>
              <w:autoSpaceDN w:val="0"/>
              <w:adjustRightInd w:val="0"/>
              <w:jc w:val="center"/>
              <w:rPr>
                <w:rFonts w:ascii="宋体" w:hAnsi="宋体" w:cs="宋体"/>
                <w:color w:val="000000"/>
                <w:kern w:val="0"/>
                <w:sz w:val="24"/>
              </w:rPr>
            </w:pPr>
            <w:r>
              <w:rPr>
                <w:rFonts w:ascii="宋体" w:hAnsi="宋体" w:cs="宋体" w:hint="eastAsia"/>
                <w:color w:val="000000"/>
                <w:kern w:val="0"/>
                <w:sz w:val="24"/>
              </w:rPr>
              <w:t>16</w:t>
            </w:r>
          </w:p>
        </w:tc>
        <w:tc>
          <w:tcPr>
            <w:tcW w:w="3342" w:type="dxa"/>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13.0%</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）计算得尔塔敏感度风险头寸时，同一个风险组内的相关系数</w:t>
      </w:r>
      <w:r>
        <w:rPr>
          <w:position w:val="-14"/>
          <w:sz w:val="30"/>
          <w:szCs w:val="30"/>
        </w:rPr>
        <w:object w:dxaOrig="387" w:dyaOrig="387">
          <v:shape id="_x0000_i1136" type="#_x0000_t75" style="width:19.25pt;height:19.25pt" o:ole="">
            <v:imagedata r:id="rId59" o:title=""/>
          </v:shape>
          <o:OLEObject Type="Embed" ProgID="Equation.DSMT4" ShapeID="_x0000_i1136" DrawAspect="Content" ObjectID="_1765373704" r:id="rId189"/>
        </w:object>
      </w:r>
      <w:r>
        <w:rPr>
          <w:rFonts w:ascii="仿宋_GB2312" w:eastAsia="仿宋_GB2312" w:cs="仿宋_GB2312" w:hint="eastAsia"/>
          <w:color w:val="000000"/>
          <w:kern w:val="0"/>
          <w:sz w:val="30"/>
          <w:szCs w:val="30"/>
          <w:shd w:val="clear" w:color="auto" w:fill="FFFFFF"/>
          <w:lang w:bidi="ar"/>
        </w:rPr>
        <w:t>计算方法如下：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12"/>
          <w:sz w:val="30"/>
          <w:szCs w:val="30"/>
        </w:rPr>
        <w:object w:dxaOrig="2853" w:dyaOrig="387">
          <v:shape id="_x0000_i1137" type="#_x0000_t75" style="width:142.55pt;height:19.25pt" o:ole="">
            <v:imagedata r:id="rId190" o:title=""/>
          </v:shape>
          <o:OLEObject Type="Embed" ProgID="Equation.DSMT4" ShapeID="_x0000_i1137" DrawAspect="Content" ObjectID="_1765373705" r:id="rId191"/>
        </w:objec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若发行人相同，则</w:t>
      </w:r>
      <w:r>
        <w:rPr>
          <w:position w:val="-12"/>
          <w:sz w:val="30"/>
          <w:szCs w:val="30"/>
        </w:rPr>
        <w:object w:dxaOrig="733" w:dyaOrig="387">
          <v:shape id="_x0000_i1138" type="#_x0000_t75" style="width:36.7pt;height:19.25pt" o:ole="">
            <v:imagedata r:id="rId192" o:title=""/>
          </v:shape>
          <o:OLEObject Type="Embed" ProgID="Equation.DSMT4" ShapeID="_x0000_i1138" DrawAspect="Content" ObjectID="_1765373706" r:id="rId193"/>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35%</w:t>
      </w:r>
      <w:r>
        <w:rPr>
          <w:rFonts w:ascii="仿宋_GB2312" w:eastAsia="仿宋_GB2312" w:cs="仿宋_GB2312" w:hint="eastAsia"/>
          <w:color w:val="000000"/>
          <w:kern w:val="0"/>
          <w:sz w:val="30"/>
          <w:szCs w:val="30"/>
          <w:shd w:val="clear" w:color="auto" w:fill="FFFFFF"/>
          <w:lang w:bidi="ar"/>
        </w:rPr>
        <w:t>；若期限维度相同，则</w:t>
      </w:r>
      <w:r>
        <w:rPr>
          <w:position w:val="-12"/>
          <w:sz w:val="30"/>
          <w:szCs w:val="30"/>
        </w:rPr>
        <w:object w:dxaOrig="733" w:dyaOrig="387">
          <v:shape id="_x0000_i1139" type="#_x0000_t75" style="width:36.7pt;height:19.25pt" o:ole="">
            <v:imagedata r:id="rId194" o:title=""/>
          </v:shape>
          <o:OLEObject Type="Embed" ProgID="Equation.DSMT4" ShapeID="_x0000_i1139" DrawAspect="Content" ObjectID="_1765373707" r:id="rId195"/>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65%</w:t>
      </w:r>
      <w:r>
        <w:rPr>
          <w:rFonts w:ascii="仿宋_GB2312" w:eastAsia="仿宋_GB2312" w:cs="仿宋_GB2312" w:hint="eastAsia"/>
          <w:color w:val="000000"/>
          <w:kern w:val="0"/>
          <w:sz w:val="30"/>
          <w:szCs w:val="30"/>
          <w:shd w:val="clear" w:color="auto" w:fill="FFFFFF"/>
          <w:lang w:bidi="ar"/>
        </w:rPr>
        <w:t>；</w:t>
      </w:r>
      <w:r>
        <w:rPr>
          <w:rFonts w:ascii="仿宋_GB2312" w:eastAsia="仿宋_GB2312" w:hint="eastAsia"/>
          <w:sz w:val="30"/>
          <w:szCs w:val="30"/>
        </w:rPr>
        <w:t>若同为债券信用利差曲线或同为</w:t>
      </w:r>
      <w:r>
        <w:rPr>
          <w:rFonts w:ascii="仿宋_GB2312" w:eastAsia="仿宋_GB2312" w:hint="eastAsia"/>
          <w:sz w:val="30"/>
          <w:szCs w:val="30"/>
        </w:rPr>
        <w:t>C</w:t>
      </w:r>
      <w:r>
        <w:rPr>
          <w:rFonts w:ascii="仿宋_GB2312" w:eastAsia="仿宋_GB2312"/>
          <w:sz w:val="30"/>
          <w:szCs w:val="30"/>
        </w:rPr>
        <w:t>DS</w:t>
      </w:r>
      <w:r>
        <w:rPr>
          <w:rFonts w:ascii="仿宋_GB2312" w:eastAsia="仿宋_GB2312" w:hint="eastAsia"/>
          <w:sz w:val="30"/>
          <w:szCs w:val="30"/>
        </w:rPr>
        <w:lastRenderedPageBreak/>
        <w:t>信用利差曲线</w:t>
      </w:r>
      <w:r>
        <w:rPr>
          <w:rFonts w:ascii="仿宋_GB2312" w:eastAsia="仿宋_GB2312" w:cs="仿宋_GB2312" w:hint="eastAsia"/>
          <w:color w:val="000000"/>
          <w:kern w:val="0"/>
          <w:sz w:val="30"/>
          <w:szCs w:val="30"/>
          <w:shd w:val="clear" w:color="auto" w:fill="FFFFFF"/>
          <w:lang w:bidi="ar"/>
        </w:rPr>
        <w:t>，则</w:t>
      </w:r>
      <w:r>
        <w:rPr>
          <w:position w:val="-12"/>
          <w:sz w:val="30"/>
          <w:szCs w:val="30"/>
        </w:rPr>
        <w:object w:dxaOrig="680" w:dyaOrig="387">
          <v:shape id="_x0000_i1140" type="#_x0000_t75" style="width:33.85pt;height:19.25pt" o:ole="">
            <v:imagedata r:id="rId196" o:title=""/>
          </v:shape>
          <o:OLEObject Type="Embed" ProgID="Equation.DSMT4" ShapeID="_x0000_i1140" DrawAspect="Content" ObjectID="_1765373708" r:id="rId197"/>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99.00%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）计算得尔塔敏感度</w:t>
      </w:r>
      <w:r>
        <w:rPr>
          <w:rFonts w:ascii="仿宋_GB2312" w:eastAsia="仿宋_GB2312" w:hint="eastAsia"/>
          <w:sz w:val="30"/>
          <w:szCs w:val="30"/>
        </w:rPr>
        <w:t>资本要求时，</w:t>
      </w:r>
      <w:r>
        <w:rPr>
          <w:rFonts w:ascii="仿宋_GB2312" w:eastAsia="仿宋_GB2312" w:cs="仿宋_GB2312" w:hint="eastAsia"/>
          <w:color w:val="000000"/>
          <w:kern w:val="0"/>
          <w:sz w:val="30"/>
          <w:szCs w:val="30"/>
          <w:shd w:val="clear" w:color="auto" w:fill="FFFFFF"/>
          <w:lang w:bidi="ar"/>
        </w:rPr>
        <w:t>不同风险组之间的相关系数</w:t>
      </w:r>
      <w:r>
        <w:rPr>
          <w:position w:val="-12"/>
          <w:sz w:val="30"/>
          <w:szCs w:val="30"/>
        </w:rPr>
        <w:object w:dxaOrig="320" w:dyaOrig="320">
          <v:shape id="_x0000_i1141" type="#_x0000_t75" style="width:16.05pt;height:16.05pt" o:ole="">
            <v:imagedata r:id="rId18" o:title=""/>
          </v:shape>
          <o:OLEObject Type="Embed" ProgID="Equation.DSMT4" ShapeID="_x0000_i1141" DrawAspect="Content" ObjectID="_1765373709" r:id="rId198"/>
        </w:object>
      </w:r>
      <w:r>
        <w:rPr>
          <w:rFonts w:ascii="仿宋_GB2312" w:eastAsia="仿宋_GB2312" w:cs="仿宋_GB2312" w:hint="eastAsia"/>
          <w:color w:val="000000"/>
          <w:kern w:val="0"/>
          <w:sz w:val="30"/>
          <w:szCs w:val="30"/>
          <w:shd w:val="clear" w:color="auto" w:fill="FFFFFF"/>
          <w:lang w:bidi="ar"/>
        </w:rPr>
        <w:t>的计算与非证券化信用利差风险一致，详见本附件第二部分（五）</w:t>
      </w:r>
      <w:r>
        <w:rPr>
          <w:rFonts w:ascii="仿宋_GB2312" w:eastAsia="仿宋_GB2312" w:cs="仿宋_GB2312"/>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维伽敏感度</w:t>
      </w:r>
      <w:proofErr w:type="gramEnd"/>
      <w:r>
        <w:rPr>
          <w:rFonts w:ascii="仿宋_GB2312" w:eastAsia="仿宋_GB2312" w:cs="仿宋_GB2312" w:hint="eastAsia"/>
          <w:color w:val="000000"/>
          <w:kern w:val="0"/>
          <w:sz w:val="30"/>
          <w:szCs w:val="30"/>
          <w:shd w:val="clear" w:color="auto" w:fill="FFFFFF"/>
          <w:lang w:bidi="ar"/>
        </w:rPr>
        <w:t>的风险权重为</w:t>
      </w:r>
      <w:r>
        <w:rPr>
          <w:rFonts w:ascii="仿宋_GB2312" w:eastAsia="仿宋_GB2312" w:cs="仿宋_GB2312"/>
          <w:color w:val="000000"/>
          <w:kern w:val="0"/>
          <w:sz w:val="30"/>
          <w:szCs w:val="30"/>
          <w:shd w:val="clear" w:color="auto" w:fill="FFFFFF"/>
          <w:lang w:bidi="ar"/>
        </w:rPr>
        <w:t>100%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计算维伽敏感度</w:t>
      </w:r>
      <w:proofErr w:type="gramEnd"/>
      <w:r>
        <w:rPr>
          <w:rFonts w:ascii="仿宋_GB2312" w:eastAsia="仿宋_GB2312" w:cs="仿宋_GB2312" w:hint="eastAsia"/>
          <w:color w:val="000000"/>
          <w:kern w:val="0"/>
          <w:sz w:val="30"/>
          <w:szCs w:val="30"/>
          <w:shd w:val="clear" w:color="auto" w:fill="FFFFFF"/>
          <w:lang w:bidi="ar"/>
        </w:rPr>
        <w:t>风险头寸时，同一个风险组内的相关系数</w:t>
      </w:r>
      <w:r>
        <w:rPr>
          <w:position w:val="-14"/>
          <w:sz w:val="30"/>
          <w:szCs w:val="30"/>
        </w:rPr>
        <w:object w:dxaOrig="387" w:dyaOrig="387">
          <v:shape id="_x0000_i1142" type="#_x0000_t75" style="width:19.25pt;height:19.25pt" o:ole="">
            <v:imagedata r:id="rId59" o:title=""/>
          </v:shape>
          <o:OLEObject Type="Embed" ProgID="Equation.DSMT4" ShapeID="_x0000_i1142" DrawAspect="Content" ObjectID="_1765373710" r:id="rId199"/>
        </w:object>
      </w:r>
      <w:r>
        <w:rPr>
          <w:rFonts w:ascii="仿宋_GB2312" w:eastAsia="仿宋_GB2312" w:cs="仿宋_GB2312" w:hint="eastAsia"/>
          <w:color w:val="000000"/>
          <w:kern w:val="0"/>
          <w:sz w:val="30"/>
          <w:szCs w:val="30"/>
          <w:shd w:val="clear" w:color="auto" w:fill="FFFFFF"/>
          <w:lang w:bidi="ar"/>
        </w:rPr>
        <w:t>计算公式详见本附件第二部分（五）</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w:t>
      </w:r>
      <w:r>
        <w:rPr>
          <w:rFonts w:ascii="仿宋_GB2312" w:eastAsia="仿宋_GB2312" w:hint="eastAsia"/>
          <w:sz w:val="30"/>
          <w:szCs w:val="30"/>
        </w:rPr>
        <w:t>其中，</w:t>
      </w:r>
      <w:r>
        <w:rPr>
          <w:position w:val="-12"/>
          <w:sz w:val="30"/>
          <w:szCs w:val="30"/>
        </w:rPr>
        <w:object w:dxaOrig="893" w:dyaOrig="387">
          <v:shape id="_x0000_i1143" type="#_x0000_t75" style="width:44.55pt;height:19.25pt" o:ole="">
            <v:imagedata r:id="rId180" o:title=""/>
          </v:shape>
          <o:OLEObject Type="Embed" ProgID="Equation.DSMT4" ShapeID="_x0000_i1143" DrawAspect="Content" ObjectID="_1765373711" r:id="rId200"/>
        </w:object>
      </w:r>
      <w:r>
        <w:rPr>
          <w:rFonts w:ascii="仿宋_GB2312" w:eastAsia="仿宋_GB2312" w:hint="eastAsia"/>
          <w:sz w:val="30"/>
          <w:szCs w:val="30"/>
        </w:rPr>
        <w:t>是</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因子与得尔塔风险因子的维度交集所对应的相关系数</w:t>
      </w:r>
      <w:r>
        <w:rPr>
          <w:position w:val="-12"/>
          <w:sz w:val="30"/>
          <w:szCs w:val="30"/>
        </w:rPr>
        <w:object w:dxaOrig="733" w:dyaOrig="387">
          <v:shape id="_x0000_i1144" type="#_x0000_t75" style="width:36.7pt;height:19.25pt" o:ole="">
            <v:imagedata r:id="rId192" o:title=""/>
          </v:shape>
          <o:OLEObject Type="Embed" ProgID="Equation.DSMT4" ShapeID="_x0000_i1144" DrawAspect="Content" ObjectID="_1765373712" r:id="rId201"/>
        </w:object>
      </w:r>
      <w:r>
        <w:rPr>
          <w:rFonts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）曲度敏感度的风险权重是给定风险因子的冲击幅度，等于对应的得尔塔风险权重。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）计算曲度敏感度风险头寸时，若发行人相同，则同一风险组内相关系数</w:t>
      </w:r>
      <w:r>
        <w:rPr>
          <w:position w:val="-14"/>
          <w:sz w:val="30"/>
          <w:szCs w:val="30"/>
        </w:rPr>
        <w:object w:dxaOrig="387" w:dyaOrig="387">
          <v:shape id="_x0000_i1145" type="#_x0000_t75" style="width:19.25pt;height:19.25pt" o:ole="">
            <v:imagedata r:id="rId59" o:title=""/>
          </v:shape>
          <o:OLEObject Type="Embed" ProgID="Equation.DSMT4" ShapeID="_x0000_i1145" DrawAspect="Content" ObjectID="_1765373713" r:id="rId202"/>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position w:val="-12"/>
          <w:sz w:val="30"/>
          <w:szCs w:val="30"/>
        </w:rPr>
        <w:object w:dxaOrig="733" w:dyaOrig="387">
          <v:shape id="_x0000_i1146" type="#_x0000_t75" style="width:36.7pt;height:19.25pt" o:ole="">
            <v:imagedata r:id="rId192" o:title=""/>
          </v:shape>
          <o:OLEObject Type="Embed" ProgID="Equation.DSMT4" ShapeID="_x0000_i1146" DrawAspect="Content" ObjectID="_1765373714" r:id="rId203"/>
        </w:object>
      </w:r>
      <w:r>
        <w:rPr>
          <w:rFonts w:ascii="仿宋_GB2312" w:eastAsia="仿宋_GB2312" w:cs="仿宋_GB2312" w:hint="eastAsia"/>
          <w:color w:val="000000"/>
          <w:kern w:val="0"/>
          <w:sz w:val="30"/>
          <w:szCs w:val="30"/>
          <w:shd w:val="clear" w:color="auto" w:fill="FFFFFF"/>
          <w:lang w:bidi="ar"/>
        </w:rPr>
        <w:t>的平方</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9</w:t>
      </w:r>
      <w:r>
        <w:rPr>
          <w:rFonts w:ascii="仿宋_GB2312" w:eastAsia="仿宋_GB2312" w:cs="仿宋_GB2312" w:hint="eastAsia"/>
          <w:color w:val="000000"/>
          <w:kern w:val="0"/>
          <w:sz w:val="30"/>
          <w:szCs w:val="30"/>
          <w:shd w:val="clear" w:color="auto" w:fill="FFFFFF"/>
          <w:lang w:bidi="ar"/>
        </w:rPr>
        <w:t>）计算曲度敏感度资本要求时，不同风险组之间的相关系数</w:t>
      </w:r>
      <w:r>
        <w:rPr>
          <w:position w:val="-12"/>
          <w:sz w:val="30"/>
          <w:szCs w:val="30"/>
        </w:rPr>
        <w:object w:dxaOrig="320" w:dyaOrig="320">
          <v:shape id="_x0000_i1147" type="#_x0000_t75" style="width:16.05pt;height:16.05pt" o:ole="">
            <v:imagedata r:id="rId18" o:title=""/>
          </v:shape>
          <o:OLEObject Type="Embed" ProgID="Equation.DSMT4" ShapeID="_x0000_i1147" DrawAspect="Content" ObjectID="_1765373715" r:id="rId204"/>
        </w:object>
      </w:r>
      <w:r>
        <w:rPr>
          <w:rFonts w:ascii="仿宋_GB2312" w:eastAsia="仿宋_GB2312" w:cs="仿宋_GB2312" w:hint="eastAsia"/>
          <w:color w:val="000000"/>
          <w:kern w:val="0"/>
          <w:sz w:val="30"/>
          <w:szCs w:val="30"/>
          <w:shd w:val="clear" w:color="auto" w:fill="FFFFFF"/>
          <w:lang w:bidi="ar"/>
        </w:rPr>
        <w:t>为对应的得尔塔相关系数</w:t>
      </w:r>
      <w:r>
        <w:rPr>
          <w:position w:val="-12"/>
          <w:sz w:val="30"/>
          <w:szCs w:val="30"/>
        </w:rPr>
        <w:object w:dxaOrig="320" w:dyaOrig="320">
          <v:shape id="_x0000_i1148" type="#_x0000_t75" style="width:16.05pt;height:16.05pt" o:ole="">
            <v:imagedata r:id="rId18" o:title=""/>
          </v:shape>
          <o:OLEObject Type="Embed" ProgID="Equation.DSMT4" ShapeID="_x0000_i1148" DrawAspect="Content" ObjectID="_1765373716" r:id="rId205"/>
        </w:object>
      </w:r>
      <w:r>
        <w:rPr>
          <w:rFonts w:ascii="仿宋_GB2312" w:eastAsia="仿宋_GB2312" w:cs="仿宋_GB2312" w:hint="eastAsia"/>
          <w:color w:val="000000"/>
          <w:kern w:val="0"/>
          <w:sz w:val="30"/>
          <w:szCs w:val="30"/>
          <w:shd w:val="clear" w:color="auto" w:fill="FFFFFF"/>
          <w:lang w:bidi="ar"/>
        </w:rPr>
        <w:t>的平方。</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（八）股票风险</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风险因子</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）得尔塔风险因子包括：</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股票价格。</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股票回购利率。</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因子是基于期权剩余期限的期权隐含波动率。期权的基础资产是</w:t>
      </w:r>
      <w:r>
        <w:rPr>
          <w:rFonts w:ascii="仿宋_GB2312" w:eastAsia="仿宋_GB2312" w:cs="仿宋_GB2312" w:hint="eastAsia"/>
          <w:color w:val="000000"/>
          <w:kern w:val="0"/>
          <w:sz w:val="30"/>
          <w:szCs w:val="30"/>
          <w:shd w:val="clear" w:color="auto" w:fill="FFFFFF"/>
          <w:lang w:bidi="ar"/>
        </w:rPr>
        <w:t>股票</w:t>
      </w:r>
      <w:r>
        <w:rPr>
          <w:rFonts w:ascii="仿宋_GB2312" w:eastAsia="仿宋_GB2312" w:hint="eastAsia"/>
          <w:sz w:val="30"/>
          <w:szCs w:val="30"/>
        </w:rPr>
        <w:t>。期限为</w:t>
      </w:r>
      <w:r>
        <w:rPr>
          <w:rFonts w:ascii="仿宋_GB2312" w:eastAsia="仿宋_GB2312"/>
          <w:sz w:val="30"/>
          <w:szCs w:val="30"/>
        </w:rPr>
        <w:t>0.</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年。股票回购利率</w:t>
      </w:r>
      <w:proofErr w:type="gramStart"/>
      <w:r>
        <w:rPr>
          <w:rFonts w:ascii="仿宋_GB2312" w:eastAsia="仿宋_GB2312" w:hint="eastAsia"/>
          <w:sz w:val="30"/>
          <w:szCs w:val="30"/>
        </w:rPr>
        <w:t>无维伽风险</w:t>
      </w:r>
      <w:proofErr w:type="gramEnd"/>
      <w:r>
        <w:rPr>
          <w:rFonts w:ascii="仿宋_GB2312" w:eastAsia="仿宋_GB2312" w:hint="eastAsia"/>
          <w:sz w:val="30"/>
          <w:szCs w:val="30"/>
        </w:rPr>
        <w:t>资本要求。</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）曲度风险因子是股票价格。股票回购利率无曲度风险资本要求。</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敏感度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1</w:t>
      </w:r>
      <w:r>
        <w:rPr>
          <w:rFonts w:ascii="仿宋_GB2312" w:eastAsia="仿宋_GB2312" w:hint="eastAsia"/>
          <w:sz w:val="30"/>
          <w:szCs w:val="30"/>
        </w:rPr>
        <w:t>）得尔塔敏感度分为股票价格的得尔塔敏感度和股票回购利率的得尔塔敏感度。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股票价格的得尔塔敏感度计算方法为股票价格变化</w:t>
      </w:r>
      <w:r>
        <w:rPr>
          <w:rFonts w:ascii="仿宋_GB2312" w:eastAsia="仿宋_GB2312" w:hint="eastAsia"/>
          <w:sz w:val="30"/>
          <w:szCs w:val="30"/>
        </w:rPr>
        <w:t>1</w:t>
      </w:r>
      <w:r>
        <w:rPr>
          <w:rFonts w:ascii="仿宋_GB2312" w:eastAsia="仿宋_GB2312" w:hint="eastAsia"/>
          <w:sz w:val="30"/>
          <w:szCs w:val="30"/>
        </w:rPr>
        <w:t>个百分点引起工具市场价值的变化量，再除以</w:t>
      </w:r>
      <w:r>
        <w:rPr>
          <w:rFonts w:ascii="仿宋_GB2312" w:eastAsia="仿宋_GB2312" w:hint="eastAsia"/>
          <w:sz w:val="30"/>
          <w:szCs w:val="30"/>
        </w:rPr>
        <w:t>0.01</w:t>
      </w:r>
      <w:r>
        <w:rPr>
          <w:rFonts w:ascii="仿宋_GB2312" w:eastAsia="仿宋_GB2312" w:hint="eastAsia"/>
          <w:sz w:val="30"/>
          <w:szCs w:val="30"/>
        </w:rPr>
        <w:t>。公式如下：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w:dxaOrig="3120" w:dyaOrig="760">
          <v:shape id="_x0000_i1149" type="#_x0000_t75" style="width:156.1pt;height:38.15pt" o:ole="">
            <v:imagedata r:id="rId206" o:title=""/>
          </v:shape>
          <o:OLEObject Type="Embed" ProgID="Equation.DSMT4" ShapeID="_x0000_i1149" DrawAspect="Content" ObjectID="_1765373717" r:id="rId207"/>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其中：</w:t>
      </w:r>
      <w:r>
        <w:rPr>
          <w:position w:val="-12"/>
          <w:sz w:val="30"/>
          <w:szCs w:val="30"/>
        </w:rPr>
        <w:object w:dxaOrig="547" w:dyaOrig="440">
          <v:shape id="_x0000_i1150" type="#_x0000_t75" style="width:27.45pt;height:22.1pt" o:ole="">
            <v:imagedata r:id="rId208" o:title=""/>
          </v:shape>
          <o:OLEObject Type="Embed" ProgID="Equation.DSMT4" ShapeID="_x0000_i1150" DrawAspect="Content" ObjectID="_1765373718" r:id="rId209"/>
        </w:object>
      </w:r>
      <w:r>
        <w:rPr>
          <w:rFonts w:ascii="仿宋_GB2312" w:eastAsia="仿宋_GB2312" w:hint="eastAsia"/>
          <w:sz w:val="30"/>
          <w:szCs w:val="30"/>
        </w:rPr>
        <w:t>为股票</w:t>
      </w:r>
      <w:r>
        <w:rPr>
          <w:rFonts w:ascii="仿宋_GB2312" w:eastAsia="仿宋_GB2312" w:hint="eastAsia"/>
          <w:sz w:val="30"/>
          <w:szCs w:val="30"/>
        </w:rPr>
        <w:t>k</w:t>
      </w:r>
      <w:r>
        <w:rPr>
          <w:rFonts w:ascii="仿宋_GB2312" w:eastAsia="仿宋_GB2312" w:hint="eastAsia"/>
          <w:sz w:val="30"/>
          <w:szCs w:val="30"/>
        </w:rPr>
        <w:t>价格；</w:t>
      </w:r>
      <w:r>
        <w:rPr>
          <w:position w:val="-12"/>
          <w:sz w:val="30"/>
          <w:szCs w:val="30"/>
        </w:rPr>
        <w:object w:dxaOrig="280" w:dyaOrig="400">
          <v:shape id="_x0000_i1151" type="#_x0000_t75" style="width:13.9pt;height:19.95pt" o:ole="">
            <v:imagedata r:id="rId210" o:title=""/>
          </v:shape>
          <o:OLEObject Type="Embed" ProgID="Equation.DSMT4" ShapeID="_x0000_i1151" DrawAspect="Content" ObjectID="_1765373719" r:id="rId211"/>
        </w:object>
      </w:r>
      <w:r>
        <w:rPr>
          <w:rFonts w:ascii="仿宋_GB2312" w:eastAsia="仿宋_GB2312" w:hint="eastAsia"/>
          <w:sz w:val="30"/>
          <w:szCs w:val="30"/>
        </w:rPr>
        <w:t>是工具</w:t>
      </w:r>
      <w:r>
        <w:rPr>
          <w:rFonts w:ascii="仿宋_GB2312" w:eastAsia="仿宋_GB2312"/>
          <w:sz w:val="30"/>
          <w:szCs w:val="30"/>
        </w:rPr>
        <w:t>i</w:t>
      </w:r>
      <w:r>
        <w:rPr>
          <w:rFonts w:ascii="仿宋_GB2312" w:eastAsia="仿宋_GB2312" w:hint="eastAsia"/>
          <w:sz w:val="30"/>
          <w:szCs w:val="30"/>
        </w:rPr>
        <w:t>的市场价值，是股票</w:t>
      </w:r>
      <w:r>
        <w:rPr>
          <w:rFonts w:ascii="仿宋_GB2312" w:eastAsia="仿宋_GB2312" w:hint="eastAsia"/>
          <w:sz w:val="30"/>
          <w:szCs w:val="30"/>
        </w:rPr>
        <w:t>k</w:t>
      </w:r>
      <w:r>
        <w:rPr>
          <w:rFonts w:ascii="仿宋_GB2312" w:eastAsia="仿宋_GB2312" w:hint="eastAsia"/>
          <w:sz w:val="30"/>
          <w:szCs w:val="30"/>
        </w:rPr>
        <w:t>价格的函数。</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sz w:val="30"/>
          <w:szCs w:val="30"/>
        </w:rPr>
        <w:t>b.</w:t>
      </w:r>
      <w:r>
        <w:rPr>
          <w:rFonts w:ascii="仿宋_GB2312" w:eastAsia="仿宋_GB2312" w:hint="eastAsia"/>
          <w:sz w:val="30"/>
          <w:szCs w:val="30"/>
        </w:rPr>
        <w:t>股票回购利率的得尔塔敏感度计算方法为股票回购利率所有期限平行移动</w:t>
      </w:r>
      <w:r>
        <w:rPr>
          <w:rFonts w:ascii="仿宋_GB2312" w:eastAsia="仿宋_GB2312" w:hint="eastAsia"/>
          <w:sz w:val="30"/>
          <w:szCs w:val="30"/>
        </w:rPr>
        <w:t>1</w:t>
      </w:r>
      <w:r>
        <w:rPr>
          <w:rFonts w:ascii="仿宋_GB2312" w:eastAsia="仿宋_GB2312" w:hint="eastAsia"/>
          <w:sz w:val="30"/>
          <w:szCs w:val="30"/>
        </w:rPr>
        <w:t>个基点引起工具市场价值的变化量，再除以</w:t>
      </w:r>
      <w:r>
        <w:rPr>
          <w:rFonts w:ascii="仿宋_GB2312" w:eastAsia="仿宋_GB2312" w:hint="eastAsia"/>
          <w:sz w:val="30"/>
          <w:szCs w:val="30"/>
        </w:rPr>
        <w:t>0.0001</w:t>
      </w:r>
      <w:r>
        <w:rPr>
          <w:rFonts w:ascii="仿宋_GB2312" w:eastAsia="仿宋_GB2312" w:hint="eastAsia"/>
          <w:sz w:val="30"/>
          <w:szCs w:val="30"/>
        </w:rPr>
        <w:t>。公式如下：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w:dxaOrig="3933" w:dyaOrig="760">
          <v:shape id="_x0000_i1152" type="#_x0000_t75" style="width:196.75pt;height:38.15pt" o:ole="">
            <v:imagedata r:id="rId212" o:title=""/>
          </v:shape>
          <o:OLEObject Type="Embed" ProgID="Equation.DSMT4" ShapeID="_x0000_i1152" DrawAspect="Content" ObjectID="_1765373720" r:id="rId213"/>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其中：</w:t>
      </w:r>
      <w:r>
        <w:rPr>
          <w:position w:val="-12"/>
          <w:sz w:val="30"/>
          <w:szCs w:val="30"/>
        </w:rPr>
        <w:object w:dxaOrig="680" w:dyaOrig="440">
          <v:shape id="_x0000_i1153" type="#_x0000_t75" style="width:33.85pt;height:22.1pt" o:ole="">
            <v:imagedata r:id="rId214" o:title=""/>
          </v:shape>
          <o:OLEObject Type="Embed" ProgID="Equation.DSMT4" ShapeID="_x0000_i1153" DrawAspect="Content" ObjectID="_1765373721" r:id="rId215"/>
        </w:object>
      </w:r>
      <w:r>
        <w:rPr>
          <w:rFonts w:ascii="仿宋_GB2312" w:eastAsia="仿宋_GB2312" w:hint="eastAsia"/>
          <w:sz w:val="30"/>
          <w:szCs w:val="30"/>
        </w:rPr>
        <w:t>为股票</w:t>
      </w:r>
      <w:r>
        <w:rPr>
          <w:rFonts w:ascii="仿宋_GB2312" w:eastAsia="仿宋_GB2312" w:hint="eastAsia"/>
          <w:sz w:val="30"/>
          <w:szCs w:val="30"/>
        </w:rPr>
        <w:t>k</w:t>
      </w:r>
      <w:r>
        <w:rPr>
          <w:rFonts w:ascii="仿宋_GB2312" w:eastAsia="仿宋_GB2312" w:hint="eastAsia"/>
          <w:sz w:val="30"/>
          <w:szCs w:val="30"/>
        </w:rPr>
        <w:t>的回购利率；</w:t>
      </w:r>
      <w:r>
        <w:rPr>
          <w:position w:val="-12"/>
          <w:sz w:val="30"/>
          <w:szCs w:val="30"/>
        </w:rPr>
        <w:object w:dxaOrig="280" w:dyaOrig="400">
          <v:shape id="_x0000_i1154" type="#_x0000_t75" style="width:13.9pt;height:19.95pt" o:ole="">
            <v:imagedata r:id="rId210" o:title=""/>
          </v:shape>
          <o:OLEObject Type="Embed" ProgID="Equation.DSMT4" ShapeID="_x0000_i1154" DrawAspect="Content" ObjectID="_1765373722" r:id="rId216"/>
        </w:object>
      </w:r>
      <w:r>
        <w:rPr>
          <w:rFonts w:ascii="仿宋_GB2312" w:eastAsia="仿宋_GB2312" w:hint="eastAsia"/>
          <w:sz w:val="30"/>
          <w:szCs w:val="30"/>
        </w:rPr>
        <w:t>是工具</w:t>
      </w:r>
      <w:r>
        <w:rPr>
          <w:rFonts w:ascii="仿宋_GB2312" w:eastAsia="仿宋_GB2312"/>
          <w:sz w:val="30"/>
          <w:szCs w:val="30"/>
        </w:rPr>
        <w:t>i</w:t>
      </w:r>
      <w:r>
        <w:rPr>
          <w:rFonts w:ascii="仿宋_GB2312" w:eastAsia="仿宋_GB2312" w:hint="eastAsia"/>
          <w:sz w:val="30"/>
          <w:szCs w:val="30"/>
        </w:rPr>
        <w:t>的市场价值，是股票</w:t>
      </w:r>
      <w:r>
        <w:rPr>
          <w:rFonts w:ascii="仿宋_GB2312" w:eastAsia="仿宋_GB2312" w:hint="eastAsia"/>
          <w:sz w:val="30"/>
          <w:szCs w:val="30"/>
        </w:rPr>
        <w:t>k</w:t>
      </w:r>
      <w:r>
        <w:rPr>
          <w:rFonts w:ascii="仿宋_GB2312" w:eastAsia="仿宋_GB2312" w:hint="eastAsia"/>
          <w:sz w:val="30"/>
          <w:szCs w:val="30"/>
        </w:rPr>
        <w:t>回购利率的函数。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维伽敏感度</w:t>
      </w:r>
      <w:proofErr w:type="gramEnd"/>
      <w:r>
        <w:rPr>
          <w:rFonts w:ascii="仿宋_GB2312" w:eastAsia="仿宋_GB2312" w:hint="eastAsia"/>
          <w:sz w:val="30"/>
          <w:szCs w:val="30"/>
        </w:rPr>
        <w:t>的计算详见本附件第二部分（四）</w:t>
      </w:r>
      <w:r>
        <w:rPr>
          <w:rFonts w:ascii="仿宋_GB2312" w:eastAsia="仿宋_GB2312"/>
          <w:sz w:val="30"/>
          <w:szCs w:val="30"/>
        </w:rPr>
        <w:t>2</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cs="仿宋_GB2312" w:hint="eastAsia"/>
          <w:color w:val="000000"/>
          <w:kern w:val="0"/>
          <w:sz w:val="30"/>
          <w:szCs w:val="30"/>
          <w:shd w:val="clear" w:color="auto" w:fill="FFFFFF"/>
          <w:lang w:bidi="ar"/>
        </w:rPr>
        <w:t>曲度敏感度的计算详见本附件第二部分（二）。</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3</w:t>
      </w:r>
      <w:r>
        <w:rPr>
          <w:rFonts w:ascii="仿宋_GB2312" w:eastAsia="仿宋_GB2312" w:hAnsi="黑体" w:hint="eastAsia"/>
          <w:bCs/>
          <w:sz w:val="30"/>
          <w:szCs w:val="30"/>
        </w:rPr>
        <w:t>.</w:t>
      </w:r>
      <w:r>
        <w:rPr>
          <w:rFonts w:ascii="仿宋_GB2312" w:eastAsia="仿宋_GB2312" w:hAnsi="黑体"/>
          <w:bCs/>
          <w:sz w:val="30"/>
          <w:szCs w:val="30"/>
        </w:rPr>
        <w:t>风险组、风险权重、相关系数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）股票风险组以股票总市值、经济体类别和行业类别维度划分，如表</w:t>
      </w:r>
      <w:r>
        <w:rPr>
          <w:rFonts w:ascii="仿宋_GB2312" w:eastAsia="仿宋_GB2312" w:hint="eastAsia"/>
          <w:sz w:val="30"/>
          <w:szCs w:val="30"/>
        </w:rPr>
        <w:t>9</w:t>
      </w:r>
      <w:r>
        <w:rPr>
          <w:rFonts w:ascii="仿宋_GB2312" w:eastAsia="仿宋_GB2312" w:hint="eastAsia"/>
          <w:sz w:val="30"/>
          <w:szCs w:val="30"/>
        </w:rPr>
        <w:t>所示。商业银行应将风险暴露划分到对应的风险组，对于跨经济体、跨行业的发行主体，按照其最主要经营区域和行业划分</w:t>
      </w:r>
      <w:proofErr w:type="gramStart"/>
      <w:r>
        <w:rPr>
          <w:rFonts w:ascii="仿宋_GB2312" w:eastAsia="仿宋_GB2312" w:hint="eastAsia"/>
          <w:sz w:val="30"/>
          <w:szCs w:val="30"/>
        </w:rPr>
        <w:t>至相应</w:t>
      </w:r>
      <w:proofErr w:type="gramEnd"/>
      <w:r>
        <w:rPr>
          <w:rFonts w:ascii="仿宋_GB2312" w:eastAsia="仿宋_GB2312" w:hint="eastAsia"/>
          <w:sz w:val="30"/>
          <w:szCs w:val="30"/>
        </w:rPr>
        <w:t>的风险组。</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9</w:t>
      </w:r>
      <w:r>
        <w:rPr>
          <w:rFonts w:ascii="楷体_GB2312" w:eastAsia="楷体_GB2312"/>
          <w:b/>
          <w:sz w:val="28"/>
          <w:szCs w:val="28"/>
        </w:rPr>
        <w:t xml:space="preserve"> </w:t>
      </w:r>
      <w:r>
        <w:rPr>
          <w:rFonts w:ascii="楷体_GB2312" w:eastAsia="楷体_GB2312" w:hint="eastAsia"/>
          <w:b/>
          <w:sz w:val="28"/>
          <w:szCs w:val="28"/>
        </w:rPr>
        <w:t>股票风险组</w:t>
      </w:r>
    </w:p>
    <w:tbl>
      <w:tblPr>
        <w:tblW w:w="8522" w:type="dxa"/>
        <w:tblLayout w:type="fixed"/>
        <w:tblLook w:val="04A0" w:firstRow="1" w:lastRow="0" w:firstColumn="1" w:lastColumn="0" w:noHBand="0" w:noVBand="1"/>
      </w:tblPr>
      <w:tblGrid>
        <w:gridCol w:w="1384"/>
        <w:gridCol w:w="1451"/>
        <w:gridCol w:w="1555"/>
        <w:gridCol w:w="4132"/>
      </w:tblGrid>
      <w:tr w:rsidR="004165E8">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w:t>
            </w:r>
          </w:p>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451"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股票总市值</w:t>
            </w:r>
          </w:p>
        </w:tc>
        <w:tc>
          <w:tcPr>
            <w:tcW w:w="155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经济体类别</w:t>
            </w: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行业类别</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451" w:type="dxa"/>
            <w:vMerge w:val="restart"/>
            <w:tcBorders>
              <w:top w:val="nil"/>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大市值</w:t>
            </w:r>
          </w:p>
        </w:tc>
        <w:tc>
          <w:tcPr>
            <w:tcW w:w="1555" w:type="dxa"/>
            <w:vMerge w:val="restart"/>
            <w:tcBorders>
              <w:top w:val="nil"/>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新兴市场经济体</w:t>
            </w: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消费品和消费服务、交通运输和仓储、公共管理和支持性服务、健康医疗、公共事业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lastRenderedPageBreak/>
              <w:t>2</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kern w:val="0"/>
                <w:sz w:val="24"/>
              </w:rPr>
              <w:t>通讯行业</w:t>
            </w:r>
            <w:r>
              <w:rPr>
                <w:rFonts w:ascii="宋体" w:hAnsi="宋体" w:cs="宋体" w:hint="eastAsia"/>
                <w:color w:val="000000"/>
                <w:kern w:val="0"/>
                <w:sz w:val="24"/>
              </w:rPr>
              <w:t>、工业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基础材料、能源、农业、制造业、</w:t>
            </w:r>
            <w:r>
              <w:rPr>
                <w:rFonts w:ascii="宋体" w:hAnsi="宋体" w:cs="宋体" w:hint="eastAsia"/>
                <w:sz w:val="24"/>
              </w:rPr>
              <w:t>矿产和开采领域</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金融机构</w:t>
            </w:r>
            <w:r>
              <w:rPr>
                <w:rFonts w:ascii="宋体" w:hAnsi="宋体" w:cs="宋体" w:hint="eastAsia"/>
                <w:color w:val="000000" w:themeColor="text1"/>
                <w:kern w:val="0"/>
                <w:sz w:val="24"/>
              </w:rPr>
              <w:t>（包括政府支持金融机构）</w:t>
            </w:r>
            <w:r>
              <w:rPr>
                <w:rFonts w:ascii="宋体" w:hAnsi="宋体" w:cs="宋体" w:hint="eastAsia"/>
                <w:color w:val="000000"/>
                <w:kern w:val="0"/>
                <w:sz w:val="24"/>
              </w:rPr>
              <w:t>、房地产行业、科技行业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vMerge w:val="restart"/>
            <w:tcBorders>
              <w:top w:val="nil"/>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发达经济体</w:t>
            </w: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消费品和服务、交通运输和仓储、公共管理和支持性服务、健康医疗、公共事业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kern w:val="0"/>
                <w:sz w:val="24"/>
              </w:rPr>
              <w:t>通讯行业</w:t>
            </w:r>
            <w:r>
              <w:rPr>
                <w:rFonts w:ascii="宋体" w:hAnsi="宋体" w:cs="宋体" w:hint="eastAsia"/>
                <w:color w:val="000000"/>
                <w:kern w:val="0"/>
                <w:sz w:val="24"/>
              </w:rPr>
              <w:t>、工业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基础材料、能源、农业、制造业、</w:t>
            </w:r>
            <w:r>
              <w:rPr>
                <w:rFonts w:ascii="宋体" w:hAnsi="宋体" w:cs="宋体" w:hint="eastAsia"/>
                <w:sz w:val="24"/>
              </w:rPr>
              <w:t>矿产和开采领域</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金融机构</w:t>
            </w:r>
            <w:r>
              <w:rPr>
                <w:rFonts w:ascii="宋体" w:hAnsi="宋体" w:cs="宋体" w:hint="eastAsia"/>
                <w:color w:val="000000" w:themeColor="text1"/>
                <w:kern w:val="0"/>
                <w:sz w:val="24"/>
              </w:rPr>
              <w:t>（包括政府支持金融机构）</w:t>
            </w:r>
            <w:r>
              <w:rPr>
                <w:rFonts w:ascii="宋体" w:hAnsi="宋体" w:cs="宋体" w:hint="eastAsia"/>
                <w:color w:val="000000"/>
                <w:kern w:val="0"/>
                <w:sz w:val="24"/>
              </w:rPr>
              <w:t>、房地产行业、科技行业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1451" w:type="dxa"/>
            <w:vMerge w:val="restart"/>
            <w:tcBorders>
              <w:top w:val="nil"/>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小市值</w:t>
            </w:r>
          </w:p>
        </w:tc>
        <w:tc>
          <w:tcPr>
            <w:tcW w:w="155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新兴市场经济体</w:t>
            </w: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第</w:t>
            </w:r>
            <w:r>
              <w:rPr>
                <w:rFonts w:ascii="宋体" w:hAnsi="宋体" w:cs="宋体" w:hint="eastAsia"/>
                <w:color w:val="000000"/>
                <w:kern w:val="0"/>
                <w:sz w:val="24"/>
              </w:rPr>
              <w:t>1</w:t>
            </w:r>
            <w:r>
              <w:rPr>
                <w:rFonts w:ascii="宋体" w:hAnsi="宋体" w:cs="宋体" w:hint="eastAsia"/>
                <w:color w:val="000000"/>
                <w:kern w:val="0"/>
                <w:sz w:val="24"/>
              </w:rPr>
              <w:t>至</w:t>
            </w:r>
            <w:r>
              <w:rPr>
                <w:rFonts w:ascii="宋体" w:hAnsi="宋体" w:cs="宋体" w:hint="eastAsia"/>
                <w:color w:val="000000"/>
                <w:kern w:val="0"/>
                <w:sz w:val="24"/>
              </w:rPr>
              <w:t>4</w:t>
            </w:r>
            <w:r>
              <w:rPr>
                <w:rFonts w:ascii="宋体" w:hAnsi="宋体" w:cs="宋体" w:hint="eastAsia"/>
                <w:color w:val="000000"/>
                <w:kern w:val="0"/>
                <w:sz w:val="24"/>
              </w:rPr>
              <w:t>个风险组对应的行业类别</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451" w:type="dxa"/>
            <w:vMerge/>
            <w:tcBorders>
              <w:top w:val="nil"/>
              <w:left w:val="nil"/>
              <w:bottom w:val="single" w:sz="4" w:space="0" w:color="000000"/>
              <w:right w:val="single" w:sz="4" w:space="0" w:color="000000"/>
            </w:tcBorders>
            <w:vAlign w:val="center"/>
          </w:tcPr>
          <w:p w:rsidR="004165E8" w:rsidRDefault="004165E8">
            <w:pPr>
              <w:widowControl/>
              <w:jc w:val="center"/>
              <w:rPr>
                <w:rFonts w:ascii="宋体" w:hAnsi="宋体" w:cs="宋体"/>
                <w:bCs/>
                <w:color w:val="000000"/>
                <w:kern w:val="0"/>
                <w:sz w:val="24"/>
              </w:rPr>
            </w:pPr>
          </w:p>
        </w:tc>
        <w:tc>
          <w:tcPr>
            <w:tcW w:w="155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发达经济体</w:t>
            </w:r>
          </w:p>
        </w:tc>
        <w:tc>
          <w:tcPr>
            <w:tcW w:w="4132"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第</w:t>
            </w:r>
            <w:r>
              <w:rPr>
                <w:rFonts w:ascii="宋体" w:hAnsi="宋体" w:cs="宋体" w:hint="eastAsia"/>
                <w:color w:val="000000"/>
                <w:kern w:val="0"/>
                <w:sz w:val="24"/>
              </w:rPr>
              <w:t>5</w:t>
            </w:r>
            <w:r>
              <w:rPr>
                <w:rFonts w:ascii="宋体" w:hAnsi="宋体" w:cs="宋体" w:hint="eastAsia"/>
                <w:color w:val="000000"/>
                <w:kern w:val="0"/>
                <w:sz w:val="24"/>
              </w:rPr>
              <w:t>至</w:t>
            </w:r>
            <w:r>
              <w:rPr>
                <w:rFonts w:ascii="宋体" w:hAnsi="宋体" w:cs="宋体" w:hint="eastAsia"/>
                <w:color w:val="000000"/>
                <w:kern w:val="0"/>
                <w:sz w:val="24"/>
              </w:rPr>
              <w:t>8</w:t>
            </w:r>
            <w:r>
              <w:rPr>
                <w:rFonts w:ascii="宋体" w:hAnsi="宋体" w:cs="宋体" w:hint="eastAsia"/>
                <w:color w:val="000000"/>
                <w:kern w:val="0"/>
                <w:sz w:val="24"/>
              </w:rPr>
              <w:t>个风险组对应的行业类别</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7138" w:type="dxa"/>
            <w:gridSpan w:val="3"/>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其他行业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7138" w:type="dxa"/>
            <w:gridSpan w:val="3"/>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大市场价值，发达经济体的股票指数（无特定行业）</w:t>
            </w:r>
          </w:p>
        </w:tc>
      </w:tr>
      <w:tr w:rsidR="004165E8">
        <w:tc>
          <w:tcPr>
            <w:tcW w:w="1384"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7138" w:type="dxa"/>
            <w:gridSpan w:val="3"/>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其它股票指数（无特定行业）</w:t>
            </w:r>
          </w:p>
        </w:tc>
      </w:tr>
    </w:tbl>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股票总市值是指同一上市法人或集团在全球证券交易所发行的所有可流通股票市场价值的总和。</w:t>
      </w:r>
      <w:r>
        <w:rPr>
          <w:rFonts w:ascii="仿宋_GB2312" w:eastAsia="仿宋_GB2312"/>
          <w:sz w:val="30"/>
          <w:szCs w:val="30"/>
        </w:rPr>
        <w:t>“</w:t>
      </w:r>
      <w:r>
        <w:rPr>
          <w:rFonts w:ascii="仿宋_GB2312" w:eastAsia="仿宋_GB2312" w:hint="eastAsia"/>
          <w:sz w:val="30"/>
          <w:szCs w:val="30"/>
        </w:rPr>
        <w:t>大市值类</w:t>
      </w:r>
      <w:r>
        <w:rPr>
          <w:rFonts w:ascii="仿宋_GB2312" w:eastAsia="仿宋_GB2312"/>
          <w:sz w:val="30"/>
          <w:szCs w:val="30"/>
        </w:rPr>
        <w:t>”</w:t>
      </w:r>
      <w:r>
        <w:rPr>
          <w:rFonts w:ascii="仿宋_GB2312" w:eastAsia="仿宋_GB2312" w:hint="eastAsia"/>
          <w:sz w:val="30"/>
          <w:szCs w:val="30"/>
        </w:rPr>
        <w:t>是指股票总市值大于或等于</w:t>
      </w:r>
      <w:r>
        <w:rPr>
          <w:rFonts w:ascii="仿宋_GB2312" w:eastAsia="仿宋_GB2312"/>
          <w:sz w:val="30"/>
          <w:szCs w:val="30"/>
        </w:rPr>
        <w:t>130</w:t>
      </w:r>
      <w:r>
        <w:rPr>
          <w:rFonts w:ascii="仿宋_GB2312" w:eastAsia="仿宋_GB2312" w:hint="eastAsia"/>
          <w:sz w:val="30"/>
          <w:szCs w:val="30"/>
        </w:rPr>
        <w:t>亿元人民币，</w:t>
      </w:r>
      <w:r>
        <w:rPr>
          <w:rFonts w:ascii="仿宋_GB2312" w:eastAsia="仿宋_GB2312"/>
          <w:sz w:val="30"/>
          <w:szCs w:val="30"/>
        </w:rPr>
        <w:t>“</w:t>
      </w:r>
      <w:r>
        <w:rPr>
          <w:rFonts w:ascii="仿宋_GB2312" w:eastAsia="仿宋_GB2312" w:hint="eastAsia"/>
          <w:sz w:val="30"/>
          <w:szCs w:val="30"/>
        </w:rPr>
        <w:t>小市值类</w:t>
      </w:r>
      <w:r>
        <w:rPr>
          <w:rFonts w:ascii="仿宋_GB2312" w:eastAsia="仿宋_GB2312"/>
          <w:sz w:val="30"/>
          <w:szCs w:val="30"/>
        </w:rPr>
        <w:t>”</w:t>
      </w:r>
      <w:r>
        <w:rPr>
          <w:rFonts w:ascii="仿宋_GB2312" w:eastAsia="仿宋_GB2312" w:hint="eastAsia"/>
          <w:sz w:val="30"/>
          <w:szCs w:val="30"/>
        </w:rPr>
        <w:t>是指股票总市值小于</w:t>
      </w:r>
      <w:r>
        <w:rPr>
          <w:rFonts w:ascii="仿宋_GB2312" w:eastAsia="仿宋_GB2312"/>
          <w:sz w:val="30"/>
          <w:szCs w:val="30"/>
        </w:rPr>
        <w:t>130</w:t>
      </w:r>
      <w:r>
        <w:rPr>
          <w:rFonts w:ascii="仿宋_GB2312" w:eastAsia="仿宋_GB2312" w:hint="eastAsia"/>
          <w:sz w:val="30"/>
          <w:szCs w:val="30"/>
        </w:rPr>
        <w:t>亿元人民币。</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发达经济体包括加拿大、美国、墨西哥、欧元区、英国、挪威、瑞典、丹麦、瑞士、日本、澳大利亚、新西兰、新加坡和中国香港特别行政区。</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）得尔塔敏感度风险权重见表</w:t>
      </w:r>
      <w:r>
        <w:rPr>
          <w:rFonts w:ascii="仿宋_GB2312" w:eastAsia="仿宋_GB2312" w:cs="仿宋_GB2312" w:hint="eastAsia"/>
          <w:color w:val="000000"/>
          <w:kern w:val="0"/>
          <w:sz w:val="30"/>
          <w:szCs w:val="30"/>
          <w:shd w:val="clear" w:color="auto" w:fill="FFFFFF"/>
          <w:lang w:bidi="ar"/>
        </w:rPr>
        <w:t>10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10</w:t>
      </w:r>
      <w:r>
        <w:rPr>
          <w:rFonts w:ascii="楷体_GB2312" w:eastAsia="楷体_GB2312"/>
          <w:b/>
          <w:sz w:val="28"/>
          <w:szCs w:val="28"/>
        </w:rPr>
        <w:t xml:space="preserve"> </w:t>
      </w:r>
      <w:r>
        <w:rPr>
          <w:rFonts w:ascii="楷体_GB2312" w:eastAsia="楷体_GB2312" w:hint="eastAsia"/>
          <w:b/>
          <w:sz w:val="28"/>
          <w:szCs w:val="28"/>
        </w:rPr>
        <w:t>股票风险</w:t>
      </w:r>
      <w:r>
        <w:rPr>
          <w:rFonts w:ascii="楷体_GB2312" w:eastAsia="楷体_GB2312" w:hint="eastAsia"/>
          <w:b/>
          <w:sz w:val="28"/>
          <w:szCs w:val="28"/>
          <w:lang w:bidi="ar"/>
        </w:rPr>
        <w:t>得尔塔敏感度的</w:t>
      </w:r>
      <w:r>
        <w:rPr>
          <w:rFonts w:ascii="楷体_GB2312" w:eastAsia="楷体_GB2312" w:hint="eastAsia"/>
          <w:b/>
          <w:sz w:val="28"/>
          <w:szCs w:val="28"/>
        </w:rPr>
        <w:t>风险权重</w:t>
      </w:r>
    </w:p>
    <w:tbl>
      <w:tblPr>
        <w:tblW w:w="8522" w:type="dxa"/>
        <w:jc w:val="center"/>
        <w:tblLayout w:type="fixed"/>
        <w:tblLook w:val="04A0" w:firstRow="1" w:lastRow="0" w:firstColumn="1" w:lastColumn="0" w:noHBand="0" w:noVBand="1"/>
      </w:tblPr>
      <w:tblGrid>
        <w:gridCol w:w="2235"/>
        <w:gridCol w:w="2835"/>
        <w:gridCol w:w="3452"/>
      </w:tblGrid>
      <w:tr w:rsidR="004165E8">
        <w:trPr>
          <w:tblHeade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风险组序号</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股票价格风险权重</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股票回购利率风险权重</w:t>
            </w:r>
          </w:p>
        </w:tc>
      </w:tr>
      <w:tr w:rsidR="004165E8">
        <w:trPr>
          <w:trHeight w:val="325"/>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55%</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0.55%</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60%</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0.60%</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0.45%</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55%</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0.55%</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lastRenderedPageBreak/>
              <w:t>5</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0.30%</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0.35%</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0.40%</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0.50%</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70%</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0.70%</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0.50%</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70%</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0.70%</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0.15%</w:t>
            </w:r>
          </w:p>
        </w:tc>
      </w:tr>
      <w:tr w:rsidR="004165E8">
        <w:trPr>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2835"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3452"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0.25%</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）计算股票风险得尔塔敏感度风险头寸时，同一个风险组内的相关系数</w:t>
      </w:r>
      <w:r>
        <w:rPr>
          <w:position w:val="-14"/>
          <w:sz w:val="30"/>
          <w:szCs w:val="30"/>
        </w:rPr>
        <w:object w:dxaOrig="387" w:dyaOrig="387">
          <v:shape id="_x0000_i1155" type="#_x0000_t75" style="width:19.25pt;height:19.25pt" o:ole="">
            <v:imagedata r:id="rId59" o:title=""/>
          </v:shape>
          <o:OLEObject Type="Embed" ProgID="Equation.DSMT4" ShapeID="_x0000_i1155" DrawAspect="Content" ObjectID="_1765373723" r:id="rId217"/>
        </w:object>
      </w:r>
      <w:r>
        <w:rPr>
          <w:rFonts w:ascii="仿宋_GB2312" w:eastAsia="仿宋_GB2312" w:cs="仿宋_GB2312" w:hint="eastAsia"/>
          <w:color w:val="000000"/>
          <w:kern w:val="0"/>
          <w:sz w:val="30"/>
          <w:szCs w:val="30"/>
          <w:shd w:val="clear" w:color="auto" w:fill="FFFFFF"/>
          <w:lang w:bidi="ar"/>
        </w:rPr>
        <w:t>计算方法如下：</w:t>
      </w:r>
      <w:r>
        <w:rPr>
          <w:rFonts w:ascii="仿宋_GB2312" w:eastAsia="仿宋_GB2312" w:cs="仿宋_GB2312" w:hint="eastAsia"/>
          <w:color w:val="000000"/>
          <w:kern w:val="0"/>
          <w:sz w:val="30"/>
          <w:szCs w:val="30"/>
          <w:shd w:val="clear" w:color="auto" w:fill="FFFFFF"/>
          <w:lang w:bidi="ar"/>
        </w:rPr>
        <w:t xml:space="preserve"> </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若发行人相同，股票价格和股票回购利率之间的相关系数</w:t>
      </w:r>
      <w:r>
        <w:rPr>
          <w:position w:val="-14"/>
          <w:sz w:val="30"/>
          <w:szCs w:val="30"/>
        </w:rPr>
        <w:object w:dxaOrig="387" w:dyaOrig="387">
          <v:shape id="_x0000_i1156" type="#_x0000_t75" style="width:19.25pt;height:19.25pt" o:ole="">
            <v:imagedata r:id="rId59" o:title=""/>
          </v:shape>
          <o:OLEObject Type="Embed" ProgID="Equation.DSMT4" ShapeID="_x0000_i1156" DrawAspect="Content" ObjectID="_1765373724" r:id="rId218"/>
        </w:object>
      </w:r>
      <w:r>
        <w:rPr>
          <w:rFonts w:ascii="仿宋_GB2312" w:eastAsia="仿宋_GB2312" w:hint="eastAsia"/>
          <w:sz w:val="30"/>
          <w:szCs w:val="30"/>
        </w:rPr>
        <w:t>为</w:t>
      </w:r>
      <w:r>
        <w:rPr>
          <w:rFonts w:ascii="仿宋_GB2312" w:eastAsia="仿宋_GB2312" w:hint="eastAsia"/>
          <w:sz w:val="30"/>
          <w:szCs w:val="30"/>
        </w:rPr>
        <w:t>99.90%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对于风险组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4</w:t>
      </w:r>
      <w:r>
        <w:rPr>
          <w:rFonts w:ascii="仿宋_GB2312" w:eastAsia="仿宋_GB2312" w:hint="eastAsia"/>
          <w:sz w:val="30"/>
          <w:szCs w:val="30"/>
        </w:rPr>
        <w:t>，股票价格之间，以及股票回购利率之间的相关系数</w:t>
      </w:r>
      <w:r>
        <w:rPr>
          <w:position w:val="-14"/>
          <w:sz w:val="30"/>
          <w:szCs w:val="30"/>
        </w:rPr>
        <w:object w:dxaOrig="387" w:dyaOrig="387">
          <v:shape id="_x0000_i1157" type="#_x0000_t75" style="width:19.25pt;height:19.25pt" o:ole="">
            <v:imagedata r:id="rId59" o:title=""/>
          </v:shape>
          <o:OLEObject Type="Embed" ProgID="Equation.DSMT4" ShapeID="_x0000_i1157" DrawAspect="Content" ObjectID="_1765373725" r:id="rId219"/>
        </w:object>
      </w:r>
      <w:r>
        <w:rPr>
          <w:rFonts w:ascii="仿宋_GB2312" w:eastAsia="仿宋_GB2312" w:hint="eastAsia"/>
          <w:sz w:val="30"/>
          <w:szCs w:val="30"/>
        </w:rPr>
        <w:t>为</w:t>
      </w:r>
      <w:r>
        <w:rPr>
          <w:rFonts w:ascii="仿宋_GB2312" w:eastAsia="仿宋_GB2312" w:hint="eastAsia"/>
          <w:sz w:val="30"/>
          <w:szCs w:val="30"/>
        </w:rPr>
        <w:t>15%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对于风险组</w:t>
      </w:r>
      <w:r>
        <w:rPr>
          <w:rFonts w:ascii="仿宋_GB2312" w:eastAsia="仿宋_GB2312" w:hint="eastAsia"/>
          <w:sz w:val="30"/>
          <w:szCs w:val="30"/>
        </w:rPr>
        <w:t>5</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8</w:t>
      </w:r>
      <w:r>
        <w:rPr>
          <w:rFonts w:ascii="仿宋_GB2312" w:eastAsia="仿宋_GB2312" w:hint="eastAsia"/>
          <w:sz w:val="30"/>
          <w:szCs w:val="30"/>
        </w:rPr>
        <w:t>，股票价格之间，以及股票回购利率之间的相关系数</w:t>
      </w:r>
      <w:r>
        <w:rPr>
          <w:position w:val="-14"/>
          <w:sz w:val="30"/>
          <w:szCs w:val="30"/>
        </w:rPr>
        <w:object w:dxaOrig="387" w:dyaOrig="387">
          <v:shape id="_x0000_i1158" type="#_x0000_t75" style="width:19.25pt;height:19.25pt" o:ole="">
            <v:imagedata r:id="rId59" o:title=""/>
          </v:shape>
          <o:OLEObject Type="Embed" ProgID="Equation.DSMT4" ShapeID="_x0000_i1158" DrawAspect="Content" ObjectID="_1765373726" r:id="rId220"/>
        </w:object>
      </w:r>
      <w:r>
        <w:rPr>
          <w:rFonts w:ascii="仿宋_GB2312" w:eastAsia="仿宋_GB2312" w:hint="eastAsia"/>
          <w:sz w:val="30"/>
          <w:szCs w:val="30"/>
        </w:rPr>
        <w:t>为</w:t>
      </w:r>
      <w:r>
        <w:rPr>
          <w:rFonts w:ascii="仿宋_GB2312" w:eastAsia="仿宋_GB2312" w:hint="eastAsia"/>
          <w:sz w:val="30"/>
          <w:szCs w:val="30"/>
        </w:rPr>
        <w:t>25%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d.</w:t>
      </w:r>
      <w:r>
        <w:rPr>
          <w:rFonts w:ascii="仿宋_GB2312" w:eastAsia="仿宋_GB2312" w:hint="eastAsia"/>
          <w:sz w:val="30"/>
          <w:szCs w:val="30"/>
        </w:rPr>
        <w:t>对于风险组</w:t>
      </w:r>
      <w:r>
        <w:rPr>
          <w:rFonts w:ascii="仿宋_GB2312" w:eastAsia="仿宋_GB2312" w:hint="eastAsia"/>
          <w:sz w:val="30"/>
          <w:szCs w:val="30"/>
        </w:rPr>
        <w:t>9</w:t>
      </w:r>
      <w:r>
        <w:rPr>
          <w:rFonts w:ascii="仿宋_GB2312" w:eastAsia="仿宋_GB2312" w:hint="eastAsia"/>
          <w:sz w:val="30"/>
          <w:szCs w:val="30"/>
        </w:rPr>
        <w:t>，股票价格之间，以及股票回购利率之间的相关系数</w:t>
      </w:r>
      <w:r>
        <w:rPr>
          <w:position w:val="-14"/>
          <w:sz w:val="30"/>
          <w:szCs w:val="30"/>
        </w:rPr>
        <w:object w:dxaOrig="387" w:dyaOrig="387">
          <v:shape id="_x0000_i1159" type="#_x0000_t75" style="width:19.25pt;height:19.25pt" o:ole="">
            <v:imagedata r:id="rId59" o:title=""/>
          </v:shape>
          <o:OLEObject Type="Embed" ProgID="Equation.DSMT4" ShapeID="_x0000_i1159" DrawAspect="Content" ObjectID="_1765373727" r:id="rId221"/>
        </w:object>
      </w:r>
      <w:r>
        <w:rPr>
          <w:rFonts w:ascii="仿宋_GB2312" w:eastAsia="仿宋_GB2312" w:hint="eastAsia"/>
          <w:sz w:val="30"/>
          <w:szCs w:val="30"/>
        </w:rPr>
        <w:t>为</w:t>
      </w:r>
      <w:r>
        <w:rPr>
          <w:rFonts w:ascii="仿宋_GB2312" w:eastAsia="仿宋_GB2312" w:hint="eastAsia"/>
          <w:sz w:val="30"/>
          <w:szCs w:val="30"/>
        </w:rPr>
        <w:t>7.5%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e.</w:t>
      </w:r>
      <w:r>
        <w:rPr>
          <w:rFonts w:ascii="仿宋_GB2312" w:eastAsia="仿宋_GB2312" w:hint="eastAsia"/>
          <w:sz w:val="30"/>
          <w:szCs w:val="30"/>
        </w:rPr>
        <w:t>对于风险组</w:t>
      </w:r>
      <w:r>
        <w:rPr>
          <w:rFonts w:ascii="仿宋_GB2312" w:eastAsia="仿宋_GB2312" w:hint="eastAsia"/>
          <w:sz w:val="30"/>
          <w:szCs w:val="30"/>
        </w:rPr>
        <w:t>10</w:t>
      </w:r>
      <w:r>
        <w:rPr>
          <w:rFonts w:ascii="仿宋_GB2312" w:eastAsia="仿宋_GB2312" w:hint="eastAsia"/>
          <w:sz w:val="30"/>
          <w:szCs w:val="30"/>
        </w:rPr>
        <w:t>，股票价格之间，以及股票回购利率之间的相关系数</w:t>
      </w:r>
      <w:r>
        <w:rPr>
          <w:position w:val="-14"/>
          <w:sz w:val="30"/>
          <w:szCs w:val="30"/>
        </w:rPr>
        <w:object w:dxaOrig="387" w:dyaOrig="387">
          <v:shape id="_x0000_i1160" type="#_x0000_t75" style="width:19.25pt;height:19.25pt" o:ole="">
            <v:imagedata r:id="rId59" o:title=""/>
          </v:shape>
          <o:OLEObject Type="Embed" ProgID="Equation.DSMT4" ShapeID="_x0000_i1160" DrawAspect="Content" ObjectID="_1765373728" r:id="rId222"/>
        </w:object>
      </w:r>
      <w:r>
        <w:rPr>
          <w:rFonts w:ascii="仿宋_GB2312" w:eastAsia="仿宋_GB2312" w:hint="eastAsia"/>
          <w:sz w:val="30"/>
          <w:szCs w:val="30"/>
        </w:rPr>
        <w:t>为</w:t>
      </w:r>
      <w:r>
        <w:rPr>
          <w:rFonts w:ascii="仿宋_GB2312" w:eastAsia="仿宋_GB2312" w:hint="eastAsia"/>
          <w:sz w:val="30"/>
          <w:szCs w:val="30"/>
        </w:rPr>
        <w:t>12.5%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f.</w:t>
      </w:r>
      <w:r>
        <w:rPr>
          <w:rFonts w:ascii="仿宋_GB2312" w:eastAsia="仿宋_GB2312" w:hint="eastAsia"/>
          <w:sz w:val="30"/>
          <w:szCs w:val="30"/>
        </w:rPr>
        <w:t>对于风险组</w:t>
      </w:r>
      <w:r>
        <w:rPr>
          <w:rFonts w:ascii="仿宋_GB2312" w:eastAsia="仿宋_GB2312" w:hint="eastAsia"/>
          <w:sz w:val="30"/>
          <w:szCs w:val="30"/>
        </w:rPr>
        <w:t>12</w:t>
      </w:r>
      <w:r>
        <w:rPr>
          <w:rFonts w:ascii="仿宋_GB2312" w:eastAsia="仿宋_GB2312" w:hint="eastAsia"/>
          <w:sz w:val="30"/>
          <w:szCs w:val="30"/>
        </w:rPr>
        <w:t>和风险组</w:t>
      </w:r>
      <w:r>
        <w:rPr>
          <w:rFonts w:ascii="仿宋_GB2312" w:eastAsia="仿宋_GB2312" w:hint="eastAsia"/>
          <w:sz w:val="30"/>
          <w:szCs w:val="30"/>
        </w:rPr>
        <w:t>13</w:t>
      </w:r>
      <w:r>
        <w:rPr>
          <w:rFonts w:ascii="仿宋_GB2312" w:eastAsia="仿宋_GB2312" w:hint="eastAsia"/>
          <w:sz w:val="30"/>
          <w:szCs w:val="30"/>
        </w:rPr>
        <w:t>，股票指数价格之间，以及股票指数工具回购利率之间的相关系数</w:t>
      </w:r>
      <w:r>
        <w:rPr>
          <w:position w:val="-14"/>
          <w:sz w:val="30"/>
          <w:szCs w:val="30"/>
        </w:rPr>
        <w:object w:dxaOrig="387" w:dyaOrig="387">
          <v:shape id="_x0000_i1161" type="#_x0000_t75" style="width:19.25pt;height:19.25pt" o:ole="">
            <v:imagedata r:id="rId59" o:title=""/>
          </v:shape>
          <o:OLEObject Type="Embed" ProgID="Equation.DSMT4" ShapeID="_x0000_i1161" DrawAspect="Content" ObjectID="_1765373729" r:id="rId223"/>
        </w:object>
      </w:r>
      <w:r>
        <w:rPr>
          <w:rFonts w:ascii="仿宋_GB2312" w:eastAsia="仿宋_GB2312" w:hint="eastAsia"/>
          <w:sz w:val="30"/>
          <w:szCs w:val="30"/>
        </w:rPr>
        <w:t>为</w:t>
      </w:r>
      <w:r>
        <w:rPr>
          <w:rFonts w:ascii="仿宋_GB2312" w:eastAsia="仿宋_GB2312" w:hint="eastAsia"/>
          <w:sz w:val="30"/>
          <w:szCs w:val="30"/>
        </w:rPr>
        <w:t>80%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g.</w:t>
      </w:r>
      <w:r>
        <w:rPr>
          <w:rFonts w:ascii="仿宋_GB2312" w:eastAsia="仿宋_GB2312" w:hint="eastAsia"/>
          <w:sz w:val="30"/>
          <w:szCs w:val="30"/>
        </w:rPr>
        <w:t>若发行人不同，股票价格和股票回购利率之间的相关系数</w:t>
      </w:r>
      <w:r>
        <w:rPr>
          <w:position w:val="-14"/>
          <w:sz w:val="30"/>
          <w:szCs w:val="30"/>
        </w:rPr>
        <w:object w:dxaOrig="387" w:dyaOrig="387">
          <v:shape id="_x0000_i1162" type="#_x0000_t75" style="width:19.25pt;height:19.25pt" o:ole="">
            <v:imagedata r:id="rId59" o:title=""/>
          </v:shape>
          <o:OLEObject Type="Embed" ProgID="Equation.DSMT4" ShapeID="_x0000_i1162" DrawAspect="Content" ObjectID="_1765373730" r:id="rId224"/>
        </w:object>
      </w:r>
      <w:r>
        <w:rPr>
          <w:rFonts w:ascii="仿宋_GB2312" w:eastAsia="仿宋_GB2312" w:hint="eastAsia"/>
          <w:sz w:val="30"/>
          <w:szCs w:val="30"/>
        </w:rPr>
        <w:t>为上述</w:t>
      </w:r>
      <w:r>
        <w:rPr>
          <w:rFonts w:ascii="仿宋_GB2312" w:eastAsia="仿宋_GB2312"/>
          <w:sz w:val="30"/>
          <w:szCs w:val="30"/>
        </w:rPr>
        <w:t>b.</w:t>
      </w:r>
      <w:r>
        <w:rPr>
          <w:rFonts w:ascii="仿宋_GB2312" w:eastAsia="仿宋_GB2312" w:hint="eastAsia"/>
          <w:sz w:val="30"/>
          <w:szCs w:val="30"/>
        </w:rPr>
        <w:t>至</w:t>
      </w:r>
      <w:r>
        <w:rPr>
          <w:rFonts w:ascii="仿宋_GB2312" w:eastAsia="仿宋_GB2312"/>
          <w:sz w:val="30"/>
          <w:szCs w:val="30"/>
        </w:rPr>
        <w:t>f.</w:t>
      </w:r>
      <w:r>
        <w:rPr>
          <w:rFonts w:ascii="仿宋_GB2312" w:eastAsia="仿宋_GB2312" w:hint="eastAsia"/>
          <w:sz w:val="30"/>
          <w:szCs w:val="30"/>
        </w:rPr>
        <w:t>计算结果乘以</w:t>
      </w:r>
      <w:r>
        <w:rPr>
          <w:rFonts w:ascii="仿宋_GB2312" w:eastAsia="仿宋_GB2312" w:hint="eastAsia"/>
          <w:sz w:val="30"/>
          <w:szCs w:val="30"/>
        </w:rPr>
        <w:t>99.90%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不适用组内相关系数</w:t>
      </w:r>
      <w:r>
        <w:rPr>
          <w:position w:val="-14"/>
          <w:sz w:val="30"/>
          <w:szCs w:val="30"/>
        </w:rPr>
        <w:object w:dxaOrig="387" w:dyaOrig="387">
          <v:shape id="_x0000_i1163" type="#_x0000_t75" style="width:19.25pt;height:19.25pt" o:ole="">
            <v:imagedata r:id="rId59" o:title=""/>
          </v:shape>
          <o:OLEObject Type="Embed" ProgID="Equation.DSMT4" ShapeID="_x0000_i1163" DrawAspect="Content" ObjectID="_1765373731" r:id="rId225"/>
        </w:objec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的得尔塔敏感度</w:t>
      </w:r>
      <w:proofErr w:type="gramStart"/>
      <w:r>
        <w:rPr>
          <w:rFonts w:ascii="仿宋_GB2312" w:eastAsia="仿宋_GB2312" w:cs="仿宋_GB2312" w:hint="eastAsia"/>
          <w:color w:val="000000"/>
          <w:kern w:val="0"/>
          <w:sz w:val="30"/>
          <w:szCs w:val="30"/>
          <w:shd w:val="clear" w:color="auto" w:fill="FFFFFF"/>
          <w:lang w:bidi="ar"/>
        </w:rPr>
        <w:t>和维伽敏感度</w:t>
      </w:r>
      <w:proofErr w:type="gramEnd"/>
      <w:r>
        <w:rPr>
          <w:rFonts w:ascii="仿宋_GB2312" w:eastAsia="仿宋_GB2312" w:cs="仿宋_GB2312" w:hint="eastAsia"/>
          <w:color w:val="000000"/>
          <w:kern w:val="0"/>
          <w:sz w:val="30"/>
          <w:szCs w:val="30"/>
          <w:shd w:val="clear" w:color="auto" w:fill="FFFFFF"/>
          <w:lang w:bidi="ar"/>
        </w:rPr>
        <w:t>风险头寸等于组内</w:t>
      </w:r>
      <w:proofErr w:type="gramStart"/>
      <w:r>
        <w:rPr>
          <w:rFonts w:ascii="仿宋_GB2312" w:eastAsia="仿宋_GB2312" w:cs="仿宋_GB2312" w:hint="eastAsia"/>
          <w:color w:val="000000"/>
          <w:kern w:val="0"/>
          <w:sz w:val="30"/>
          <w:szCs w:val="30"/>
          <w:shd w:val="clear" w:color="auto" w:fill="FFFFFF"/>
          <w:lang w:bidi="ar"/>
        </w:rPr>
        <w:t>各风险</w:t>
      </w:r>
      <w:proofErr w:type="gramEnd"/>
      <w:r>
        <w:rPr>
          <w:rFonts w:ascii="仿宋_GB2312" w:eastAsia="仿宋_GB2312" w:cs="仿宋_GB2312" w:hint="eastAsia"/>
          <w:color w:val="000000"/>
          <w:kern w:val="0"/>
          <w:sz w:val="30"/>
          <w:szCs w:val="30"/>
          <w:shd w:val="clear" w:color="auto" w:fill="FFFFFF"/>
          <w:lang w:bidi="ar"/>
        </w:rPr>
        <w:t>因子加权敏感度的绝对值之和，公式如下：</w:t>
      </w:r>
    </w:p>
    <w:bookmarkStart w:id="12" w:name="_Hlk81740486"/>
    <w:p w:rsidR="004165E8" w:rsidRDefault="00A108D9">
      <w:pPr>
        <w:jc w:val="center"/>
        <w:rPr>
          <w:iCs/>
          <w:sz w:val="30"/>
          <w:szCs w:val="30"/>
        </w:rPr>
      </w:pPr>
      <w:r>
        <w:rPr>
          <w:position w:val="-28"/>
          <w:sz w:val="30"/>
          <w:szCs w:val="30"/>
        </w:rPr>
        <w:object w:dxaOrig="2653" w:dyaOrig="733">
          <v:shape id="_x0000_i1164" type="#_x0000_t75" style="width:132.6pt;height:36.7pt" o:ole="">
            <v:imagedata r:id="rId226" o:title=""/>
          </v:shape>
          <o:OLEObject Type="Embed" ProgID="Equation.DSMT4" ShapeID="_x0000_i1164" DrawAspect="Content" ObjectID="_1765373732" r:id="rId227"/>
        </w:object>
      </w:r>
    </w:p>
    <w:bookmarkEnd w:id="12"/>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风险组</w:t>
      </w:r>
      <w:r>
        <w:rPr>
          <w:rFonts w:ascii="仿宋_GB2312" w:eastAsia="仿宋_GB2312" w:cs="仿宋_GB2312" w:hint="eastAsia"/>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的曲度敏感度风险头寸的计算公式如下：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w:dxaOrig="5760" w:dyaOrig="653">
          <v:shape id="_x0000_i1165" type="#_x0000_t75" style="width:4in;height:32.8pt" o:ole="">
            <v:imagedata r:id="rId228" o:title=""/>
          </v:shape>
          <o:OLEObject Type="Embed" ProgID="Equation.DSMT4" ShapeID="_x0000_i1165" DrawAspect="Content" ObjectID="_1765373733" r:id="rId229"/>
        </w:objec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）计算得尔塔敏感度</w:t>
      </w:r>
      <w:proofErr w:type="gramStart"/>
      <w:r>
        <w:rPr>
          <w:rFonts w:ascii="仿宋_GB2312" w:eastAsia="仿宋_GB2312" w:cs="仿宋_GB2312" w:hint="eastAsia"/>
          <w:color w:val="000000"/>
          <w:kern w:val="0"/>
          <w:sz w:val="30"/>
          <w:szCs w:val="30"/>
          <w:shd w:val="clear" w:color="auto" w:fill="FFFFFF"/>
          <w:lang w:bidi="ar"/>
        </w:rPr>
        <w:t>和维伽</w:t>
      </w:r>
      <w:r>
        <w:rPr>
          <w:rFonts w:ascii="仿宋_GB2312" w:eastAsia="仿宋_GB2312" w:hint="eastAsia"/>
          <w:sz w:val="30"/>
          <w:szCs w:val="30"/>
        </w:rPr>
        <w:t>敏感度</w:t>
      </w:r>
      <w:proofErr w:type="gramEnd"/>
      <w:r>
        <w:rPr>
          <w:rFonts w:ascii="仿宋_GB2312" w:eastAsia="仿宋_GB2312" w:hint="eastAsia"/>
          <w:sz w:val="30"/>
          <w:szCs w:val="30"/>
        </w:rPr>
        <w:t>资本要求时，</w:t>
      </w:r>
      <w:r>
        <w:rPr>
          <w:rFonts w:ascii="仿宋_GB2312" w:eastAsia="仿宋_GB2312" w:cs="仿宋_GB2312" w:hint="eastAsia"/>
          <w:color w:val="000000"/>
          <w:kern w:val="0"/>
          <w:sz w:val="30"/>
          <w:szCs w:val="30"/>
          <w:shd w:val="clear" w:color="auto" w:fill="FFFFFF"/>
          <w:lang w:bidi="ar"/>
        </w:rPr>
        <w:t>不同风险组之间的相关系数</w:t>
      </w:r>
      <w:r>
        <w:rPr>
          <w:position w:val="-12"/>
          <w:sz w:val="30"/>
          <w:szCs w:val="30"/>
        </w:rPr>
        <w:object w:dxaOrig="320" w:dyaOrig="320">
          <v:shape id="_x0000_i1166" type="#_x0000_t75" style="width:16.05pt;height:16.05pt" o:ole="">
            <v:imagedata r:id="rId18" o:title=""/>
          </v:shape>
          <o:OLEObject Type="Embed" ProgID="Equation.DSMT4" ShapeID="_x0000_i1166" DrawAspect="Content" ObjectID="_1765373734" r:id="rId230"/>
        </w:object>
      </w:r>
      <w:r>
        <w:rPr>
          <w:rFonts w:ascii="仿宋_GB2312" w:eastAsia="仿宋_GB2312" w:hint="eastAsia"/>
          <w:sz w:val="30"/>
          <w:szCs w:val="30"/>
        </w:rPr>
        <w:t>如下：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对于风险组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10</w:t>
      </w:r>
      <w:r>
        <w:rPr>
          <w:rFonts w:ascii="仿宋_GB2312" w:eastAsia="仿宋_GB2312" w:hint="eastAsia"/>
          <w:sz w:val="30"/>
          <w:szCs w:val="30"/>
        </w:rPr>
        <w:t>，相关系数</w:t>
      </w:r>
      <w:r>
        <w:rPr>
          <w:position w:val="-12"/>
          <w:sz w:val="30"/>
          <w:szCs w:val="30"/>
        </w:rPr>
        <w:object w:dxaOrig="320" w:dyaOrig="320">
          <v:shape id="_x0000_i1167" type="#_x0000_t75" style="width:16.05pt;height:16.05pt" o:ole="">
            <v:imagedata r:id="rId18" o:title=""/>
          </v:shape>
          <o:OLEObject Type="Embed" ProgID="Equation.DSMT4" ShapeID="_x0000_i1167" DrawAspect="Content" ObjectID="_1765373735" r:id="rId231"/>
        </w:object>
      </w:r>
      <w:r>
        <w:rPr>
          <w:rFonts w:ascii="仿宋_GB2312" w:eastAsia="仿宋_GB2312" w:hint="eastAsia"/>
          <w:sz w:val="30"/>
          <w:szCs w:val="30"/>
        </w:rPr>
        <w:t>为</w:t>
      </w:r>
      <w:r>
        <w:rPr>
          <w:rFonts w:ascii="仿宋_GB2312" w:eastAsia="仿宋_GB2312" w:hint="eastAsia"/>
          <w:sz w:val="30"/>
          <w:szCs w:val="30"/>
        </w:rPr>
        <w:t>15%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风险组</w:t>
      </w:r>
      <w:r>
        <w:rPr>
          <w:rFonts w:ascii="仿宋_GB2312" w:eastAsia="仿宋_GB2312" w:hint="eastAsia"/>
          <w:sz w:val="30"/>
          <w:szCs w:val="30"/>
        </w:rPr>
        <w:t>11</w:t>
      </w:r>
      <w:r>
        <w:rPr>
          <w:rFonts w:ascii="仿宋_GB2312" w:eastAsia="仿宋_GB2312" w:hint="eastAsia"/>
          <w:sz w:val="30"/>
          <w:szCs w:val="30"/>
        </w:rPr>
        <w:t>与其他风险组的相关系数</w:t>
      </w:r>
      <w:r>
        <w:rPr>
          <w:position w:val="-12"/>
          <w:sz w:val="30"/>
          <w:szCs w:val="30"/>
        </w:rPr>
        <w:object w:dxaOrig="320" w:dyaOrig="320">
          <v:shape id="_x0000_i1168" type="#_x0000_t75" style="width:16.05pt;height:16.05pt" o:ole="">
            <v:imagedata r:id="rId18" o:title=""/>
          </v:shape>
          <o:OLEObject Type="Embed" ProgID="Equation.DSMT4" ShapeID="_x0000_i1168" DrawAspect="Content" ObjectID="_1765373736" r:id="rId232"/>
        </w:object>
      </w:r>
      <w:r>
        <w:rPr>
          <w:rFonts w:ascii="仿宋_GB2312" w:eastAsia="仿宋_GB2312" w:hint="eastAsia"/>
          <w:sz w:val="30"/>
          <w:szCs w:val="30"/>
        </w:rPr>
        <w:t>为</w:t>
      </w:r>
      <w:r>
        <w:rPr>
          <w:rFonts w:ascii="仿宋_GB2312" w:eastAsia="仿宋_GB2312" w:hint="eastAsia"/>
          <w:sz w:val="30"/>
          <w:szCs w:val="30"/>
        </w:rPr>
        <w:t>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风险组</w:t>
      </w:r>
      <w:r>
        <w:rPr>
          <w:rFonts w:ascii="仿宋_GB2312" w:eastAsia="仿宋_GB2312" w:hint="eastAsia"/>
          <w:sz w:val="30"/>
          <w:szCs w:val="30"/>
        </w:rPr>
        <w:t>12</w:t>
      </w:r>
      <w:r>
        <w:rPr>
          <w:rFonts w:ascii="仿宋_GB2312" w:eastAsia="仿宋_GB2312" w:hint="eastAsia"/>
          <w:sz w:val="30"/>
          <w:szCs w:val="30"/>
        </w:rPr>
        <w:t>与风险组</w:t>
      </w:r>
      <w:r>
        <w:rPr>
          <w:rFonts w:ascii="仿宋_GB2312" w:eastAsia="仿宋_GB2312" w:hint="eastAsia"/>
          <w:sz w:val="30"/>
          <w:szCs w:val="30"/>
        </w:rPr>
        <w:t>13</w:t>
      </w:r>
      <w:r>
        <w:rPr>
          <w:rFonts w:ascii="仿宋_GB2312" w:eastAsia="仿宋_GB2312" w:hint="eastAsia"/>
          <w:sz w:val="30"/>
          <w:szCs w:val="30"/>
        </w:rPr>
        <w:t>的相关系数</w:t>
      </w:r>
      <w:r>
        <w:rPr>
          <w:position w:val="-12"/>
          <w:sz w:val="30"/>
          <w:szCs w:val="30"/>
        </w:rPr>
        <w:object w:dxaOrig="320" w:dyaOrig="320">
          <v:shape id="_x0000_i1169" type="#_x0000_t75" style="width:16.05pt;height:16.05pt" o:ole="">
            <v:imagedata r:id="rId18" o:title=""/>
          </v:shape>
          <o:OLEObject Type="Embed" ProgID="Equation.DSMT4" ShapeID="_x0000_i1169" DrawAspect="Content" ObjectID="_1765373737" r:id="rId233"/>
        </w:object>
      </w:r>
      <w:r>
        <w:rPr>
          <w:rFonts w:ascii="仿宋_GB2312" w:eastAsia="仿宋_GB2312" w:hint="eastAsia"/>
          <w:sz w:val="30"/>
          <w:szCs w:val="30"/>
        </w:rPr>
        <w:t>为</w:t>
      </w:r>
      <w:r>
        <w:rPr>
          <w:rFonts w:ascii="仿宋_GB2312" w:eastAsia="仿宋_GB2312" w:hint="eastAsia"/>
          <w:sz w:val="30"/>
          <w:szCs w:val="30"/>
        </w:rPr>
        <w:t>75%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d.</w:t>
      </w:r>
      <w:r>
        <w:rPr>
          <w:rFonts w:ascii="仿宋_GB2312" w:eastAsia="仿宋_GB2312" w:hint="eastAsia"/>
          <w:sz w:val="30"/>
          <w:szCs w:val="30"/>
        </w:rPr>
        <w:t>其他情况下相关系数</w:t>
      </w:r>
      <w:r>
        <w:rPr>
          <w:position w:val="-12"/>
          <w:sz w:val="30"/>
          <w:szCs w:val="30"/>
        </w:rPr>
        <w:object w:dxaOrig="320" w:dyaOrig="320">
          <v:shape id="_x0000_i1170" type="#_x0000_t75" style="width:16.05pt;height:16.05pt" o:ole="">
            <v:imagedata r:id="rId18" o:title=""/>
          </v:shape>
          <o:OLEObject Type="Embed" ProgID="Equation.DSMT4" ShapeID="_x0000_i1170" DrawAspect="Content" ObjectID="_1765373738" r:id="rId234"/>
        </w:object>
      </w:r>
      <w:r>
        <w:rPr>
          <w:rFonts w:ascii="仿宋_GB2312" w:eastAsia="仿宋_GB2312" w:hint="eastAsia"/>
          <w:sz w:val="30"/>
          <w:szCs w:val="30"/>
        </w:rPr>
        <w:t>为</w:t>
      </w:r>
      <w:r>
        <w:rPr>
          <w:rFonts w:ascii="仿宋_GB2312" w:eastAsia="仿宋_GB2312" w:hint="eastAsia"/>
          <w:sz w:val="30"/>
          <w:szCs w:val="30"/>
        </w:rPr>
        <w:t>45%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hint="eastAsia"/>
          <w:sz w:val="30"/>
          <w:szCs w:val="30"/>
        </w:rPr>
        <w:t>的</w:t>
      </w:r>
      <w:r>
        <w:rPr>
          <w:rFonts w:ascii="仿宋_GB2312" w:eastAsia="仿宋_GB2312" w:cs="仿宋_GB2312" w:hint="eastAsia"/>
          <w:color w:val="000000"/>
          <w:kern w:val="0"/>
          <w:sz w:val="30"/>
          <w:szCs w:val="30"/>
          <w:shd w:val="clear" w:color="auto" w:fill="FFFFFF"/>
          <w:lang w:bidi="ar"/>
        </w:rPr>
        <w:t>风险权重如下：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对于风险组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8</w:t>
      </w:r>
      <w:r>
        <w:rPr>
          <w:rFonts w:ascii="仿宋_GB2312" w:eastAsia="仿宋_GB2312" w:hint="eastAsia"/>
          <w:sz w:val="30"/>
          <w:szCs w:val="30"/>
        </w:rPr>
        <w:t>，以及风险组</w:t>
      </w:r>
      <w:r>
        <w:rPr>
          <w:rFonts w:ascii="仿宋_GB2312" w:eastAsia="仿宋_GB2312" w:hint="eastAsia"/>
          <w:sz w:val="30"/>
          <w:szCs w:val="30"/>
        </w:rPr>
        <w:t>12</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13</w:t>
      </w:r>
      <w:r>
        <w:rPr>
          <w:rFonts w:ascii="仿宋_GB2312" w:eastAsia="仿宋_GB2312" w:hint="eastAsia"/>
          <w:sz w:val="30"/>
          <w:szCs w:val="30"/>
        </w:rPr>
        <w:t>，风险权重为</w:t>
      </w:r>
      <w:r>
        <w:rPr>
          <w:rFonts w:ascii="仿宋_GB2312" w:eastAsia="仿宋_GB2312" w:hint="eastAsia"/>
          <w:sz w:val="30"/>
          <w:szCs w:val="30"/>
        </w:rPr>
        <w:t>77.78%</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对于风险组</w:t>
      </w:r>
      <w:r>
        <w:rPr>
          <w:rFonts w:ascii="仿宋_GB2312" w:eastAsia="仿宋_GB2312" w:hint="eastAsia"/>
          <w:sz w:val="30"/>
          <w:szCs w:val="30"/>
        </w:rPr>
        <w:t>9</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11</w:t>
      </w:r>
      <w:r>
        <w:rPr>
          <w:rFonts w:ascii="仿宋_GB2312" w:eastAsia="仿宋_GB2312" w:hint="eastAsia"/>
          <w:sz w:val="30"/>
          <w:szCs w:val="30"/>
        </w:rPr>
        <w:t>，风险权重为</w:t>
      </w:r>
      <w:r>
        <w:rPr>
          <w:rFonts w:ascii="仿宋_GB2312" w:eastAsia="仿宋_GB2312" w:hint="eastAsia"/>
          <w:sz w:val="30"/>
          <w:szCs w:val="30"/>
        </w:rPr>
        <w:t>100%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计算维伽敏感度</w:t>
      </w:r>
      <w:proofErr w:type="gramEnd"/>
      <w:r>
        <w:rPr>
          <w:rFonts w:ascii="仿宋_GB2312" w:eastAsia="仿宋_GB2312" w:cs="仿宋_GB2312" w:hint="eastAsia"/>
          <w:color w:val="000000"/>
          <w:kern w:val="0"/>
          <w:sz w:val="30"/>
          <w:szCs w:val="30"/>
          <w:shd w:val="clear" w:color="auto" w:fill="FFFFFF"/>
          <w:lang w:bidi="ar"/>
        </w:rPr>
        <w:t>风险头寸时，同一个风险组内的相关系数</w:t>
      </w:r>
      <w:r>
        <w:rPr>
          <w:position w:val="-14"/>
          <w:sz w:val="30"/>
          <w:szCs w:val="30"/>
        </w:rPr>
        <w:object w:dxaOrig="387" w:dyaOrig="387">
          <v:shape id="_x0000_i1171" type="#_x0000_t75" style="width:19.25pt;height:19.25pt" o:ole="">
            <v:imagedata r:id="rId59" o:title=""/>
          </v:shape>
          <o:OLEObject Type="Embed" ProgID="Equation.DSMT4" ShapeID="_x0000_i1171" DrawAspect="Content" ObjectID="_1765373739" r:id="rId235"/>
        </w:object>
      </w:r>
      <w:r>
        <w:rPr>
          <w:rFonts w:ascii="仿宋_GB2312" w:eastAsia="仿宋_GB2312" w:hint="eastAsia"/>
          <w:sz w:val="30"/>
          <w:szCs w:val="30"/>
        </w:rPr>
        <w:t>计算公式详见本附件第二部分（五）</w:t>
      </w:r>
      <w:r>
        <w:rPr>
          <w:rFonts w:ascii="仿宋_GB2312" w:eastAsia="仿宋_GB2312" w:hint="eastAsia"/>
          <w:sz w:val="30"/>
          <w:szCs w:val="30"/>
        </w:rPr>
        <w:t>3</w:t>
      </w:r>
      <w:r>
        <w:rPr>
          <w:rFonts w:ascii="仿宋_GB2312" w:eastAsia="仿宋_GB2312" w:hint="eastAsia"/>
          <w:sz w:val="30"/>
          <w:szCs w:val="30"/>
        </w:rPr>
        <w:t>。其中，</w:t>
      </w:r>
      <w:r>
        <w:rPr>
          <w:position w:val="-12"/>
          <w:sz w:val="30"/>
          <w:szCs w:val="30"/>
        </w:rPr>
        <w:object w:dxaOrig="893" w:dyaOrig="387">
          <v:shape id="_x0000_i1172" type="#_x0000_t75" style="width:44.55pt;height:19.25pt" o:ole="">
            <v:imagedata r:id="rId180" o:title=""/>
          </v:shape>
          <o:OLEObject Type="Embed" ProgID="Equation.DSMT4" ShapeID="_x0000_i1172" DrawAspect="Content" ObjectID="_1765373740" r:id="rId236"/>
        </w:object>
      </w:r>
      <w:r>
        <w:rPr>
          <w:rFonts w:ascii="仿宋_GB2312" w:eastAsia="仿宋_GB2312" w:hint="eastAsia"/>
          <w:sz w:val="30"/>
          <w:szCs w:val="30"/>
        </w:rPr>
        <w:t>是</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因子对应的得尔塔风险因子相关系数。</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）曲度敏感度的风险权重是给定风险因子的冲击幅度，等于对应的得尔塔风险权重。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9</w:t>
      </w:r>
      <w:r>
        <w:rPr>
          <w:rFonts w:ascii="仿宋_GB2312" w:eastAsia="仿宋_GB2312" w:cs="仿宋_GB2312" w:hint="eastAsia"/>
          <w:color w:val="000000"/>
          <w:kern w:val="0"/>
          <w:sz w:val="30"/>
          <w:szCs w:val="30"/>
          <w:shd w:val="clear" w:color="auto" w:fill="FFFFFF"/>
          <w:lang w:bidi="ar"/>
        </w:rPr>
        <w:t>）计算曲度敏感度风险头寸时，同一风险组内相关系数</w:t>
      </w:r>
      <w:r>
        <w:rPr>
          <w:position w:val="-14"/>
          <w:sz w:val="30"/>
          <w:szCs w:val="30"/>
        </w:rPr>
        <w:object w:dxaOrig="387" w:dyaOrig="387">
          <v:shape id="_x0000_i1173" type="#_x0000_t75" style="width:19.25pt;height:19.25pt" o:ole="">
            <v:imagedata r:id="rId59" o:title=""/>
          </v:shape>
          <o:OLEObject Type="Embed" ProgID="Equation.DSMT4" ShapeID="_x0000_i1173" DrawAspect="Content" ObjectID="_1765373741" r:id="rId237"/>
        </w:object>
      </w:r>
      <w:r>
        <w:rPr>
          <w:rFonts w:ascii="仿宋_GB2312" w:eastAsia="仿宋_GB2312" w:cs="仿宋_GB2312" w:hint="eastAsia"/>
          <w:color w:val="000000"/>
          <w:kern w:val="0"/>
          <w:sz w:val="30"/>
          <w:szCs w:val="30"/>
          <w:shd w:val="clear" w:color="auto" w:fill="FFFFFF"/>
          <w:lang w:bidi="ar"/>
        </w:rPr>
        <w:t>为对应的得尔塔相关系数</w:t>
      </w:r>
      <w:r>
        <w:rPr>
          <w:position w:val="-14"/>
          <w:sz w:val="30"/>
          <w:szCs w:val="30"/>
        </w:rPr>
        <w:object w:dxaOrig="387" w:dyaOrig="387">
          <v:shape id="_x0000_i1174" type="#_x0000_t75" style="width:19.25pt;height:19.25pt" o:ole="">
            <v:imagedata r:id="rId59" o:title=""/>
          </v:shape>
          <o:OLEObject Type="Embed" ProgID="Equation.DSMT4" ShapeID="_x0000_i1174" DrawAspect="Content" ObjectID="_1765373742" r:id="rId238"/>
        </w:object>
      </w:r>
      <w:r>
        <w:rPr>
          <w:rFonts w:ascii="仿宋_GB2312" w:eastAsia="仿宋_GB2312" w:cs="仿宋_GB2312" w:hint="eastAsia"/>
          <w:color w:val="000000"/>
          <w:kern w:val="0"/>
          <w:sz w:val="30"/>
          <w:szCs w:val="30"/>
          <w:shd w:val="clear" w:color="auto" w:fill="FFFFFF"/>
          <w:lang w:bidi="ar"/>
        </w:rPr>
        <w:t>的平方</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10</w:t>
      </w:r>
      <w:r>
        <w:rPr>
          <w:rFonts w:ascii="仿宋_GB2312" w:eastAsia="仿宋_GB2312" w:cs="仿宋_GB2312" w:hint="eastAsia"/>
          <w:color w:val="000000"/>
          <w:kern w:val="0"/>
          <w:sz w:val="30"/>
          <w:szCs w:val="30"/>
          <w:shd w:val="clear" w:color="auto" w:fill="FFFFFF"/>
          <w:lang w:bidi="ar"/>
        </w:rPr>
        <w:t>）计算曲度敏感度资本要求时，不同风险组之间的相关系数</w:t>
      </w:r>
      <w:r>
        <w:rPr>
          <w:position w:val="-12"/>
          <w:sz w:val="30"/>
          <w:szCs w:val="30"/>
        </w:rPr>
        <w:object w:dxaOrig="320" w:dyaOrig="320">
          <v:shape id="_x0000_i1175" type="#_x0000_t75" style="width:16.05pt;height:16.05pt" o:ole="">
            <v:imagedata r:id="rId18" o:title=""/>
          </v:shape>
          <o:OLEObject Type="Embed" ProgID="Equation.DSMT4" ShapeID="_x0000_i1175" DrawAspect="Content" ObjectID="_1765373743" r:id="rId239"/>
        </w:object>
      </w:r>
      <w:r>
        <w:rPr>
          <w:rFonts w:ascii="仿宋_GB2312" w:eastAsia="仿宋_GB2312" w:cs="仿宋_GB2312" w:hint="eastAsia"/>
          <w:color w:val="000000"/>
          <w:kern w:val="0"/>
          <w:sz w:val="30"/>
          <w:szCs w:val="30"/>
          <w:shd w:val="clear" w:color="auto" w:fill="FFFFFF"/>
          <w:lang w:bidi="ar"/>
        </w:rPr>
        <w:t>为对应的得尔塔相关系数</w:t>
      </w:r>
      <w:r>
        <w:rPr>
          <w:position w:val="-12"/>
          <w:sz w:val="30"/>
          <w:szCs w:val="30"/>
        </w:rPr>
        <w:object w:dxaOrig="320" w:dyaOrig="320">
          <v:shape id="_x0000_i1176" type="#_x0000_t75" style="width:16.05pt;height:16.05pt" o:ole="">
            <v:imagedata r:id="rId18" o:title=""/>
          </v:shape>
          <o:OLEObject Type="Embed" ProgID="Equation.DSMT4" ShapeID="_x0000_i1176" DrawAspect="Content" ObjectID="_1765373744" r:id="rId240"/>
        </w:object>
      </w:r>
      <w:r>
        <w:rPr>
          <w:rFonts w:ascii="仿宋_GB2312" w:eastAsia="仿宋_GB2312" w:cs="仿宋_GB2312" w:hint="eastAsia"/>
          <w:color w:val="000000"/>
          <w:kern w:val="0"/>
          <w:sz w:val="30"/>
          <w:szCs w:val="30"/>
          <w:shd w:val="clear" w:color="auto" w:fill="FFFFFF"/>
          <w:lang w:bidi="ar"/>
        </w:rPr>
        <w:t>的平方。</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（九）商品风险</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风险因子</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1</w:t>
      </w:r>
      <w:r>
        <w:rPr>
          <w:rFonts w:ascii="仿宋_GB2312" w:eastAsia="仿宋_GB2312" w:hint="eastAsia"/>
          <w:sz w:val="30"/>
          <w:szCs w:val="30"/>
        </w:rPr>
        <w:t>）得尔塔风险因子是由交割地和剩余期限确定的商品即期（或现货）价格。剩余期限为</w:t>
      </w:r>
      <w:r>
        <w:rPr>
          <w:rFonts w:ascii="仿宋_GB2312" w:eastAsia="仿宋_GB2312" w:hint="eastAsia"/>
          <w:sz w:val="30"/>
          <w:szCs w:val="30"/>
        </w:rPr>
        <w:t>0</w:t>
      </w:r>
      <w:r>
        <w:rPr>
          <w:rFonts w:ascii="仿宋_GB2312" w:eastAsia="仿宋_GB2312" w:hint="eastAsia"/>
          <w:sz w:val="30"/>
          <w:szCs w:val="30"/>
        </w:rPr>
        <w:t>年、</w:t>
      </w:r>
      <w:r>
        <w:rPr>
          <w:rFonts w:ascii="仿宋_GB2312" w:eastAsia="仿宋_GB2312" w:hint="eastAsia"/>
          <w:sz w:val="30"/>
          <w:szCs w:val="30"/>
        </w:rPr>
        <w:t>0.25</w:t>
      </w:r>
      <w:r>
        <w:rPr>
          <w:rFonts w:ascii="仿宋_GB2312" w:eastAsia="仿宋_GB2312" w:hint="eastAsia"/>
          <w:sz w:val="30"/>
          <w:szCs w:val="30"/>
        </w:rPr>
        <w:t>年、</w:t>
      </w:r>
      <w:r>
        <w:rPr>
          <w:rFonts w:ascii="仿宋_GB2312" w:eastAsia="仿宋_GB2312" w:hint="eastAsia"/>
          <w:sz w:val="30"/>
          <w:szCs w:val="30"/>
        </w:rPr>
        <w:t>0.5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2</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10</w:t>
      </w:r>
      <w:r>
        <w:rPr>
          <w:rFonts w:ascii="仿宋_GB2312" w:eastAsia="仿宋_GB2312" w:hint="eastAsia"/>
          <w:sz w:val="30"/>
          <w:szCs w:val="30"/>
        </w:rPr>
        <w:t>年、</w:t>
      </w:r>
      <w:r>
        <w:rPr>
          <w:rFonts w:ascii="仿宋_GB2312" w:eastAsia="仿宋_GB2312" w:hint="eastAsia"/>
          <w:sz w:val="30"/>
          <w:szCs w:val="30"/>
        </w:rPr>
        <w:t>15</w:t>
      </w:r>
      <w:r>
        <w:rPr>
          <w:rFonts w:ascii="仿宋_GB2312" w:eastAsia="仿宋_GB2312" w:hint="eastAsia"/>
          <w:sz w:val="30"/>
          <w:szCs w:val="30"/>
        </w:rPr>
        <w:t>年、</w:t>
      </w:r>
      <w:r>
        <w:rPr>
          <w:rFonts w:ascii="仿宋_GB2312" w:eastAsia="仿宋_GB2312" w:hint="eastAsia"/>
          <w:sz w:val="30"/>
          <w:szCs w:val="30"/>
        </w:rPr>
        <w:t>20</w:t>
      </w:r>
      <w:r>
        <w:rPr>
          <w:rFonts w:ascii="仿宋_GB2312" w:eastAsia="仿宋_GB2312" w:hint="eastAsia"/>
          <w:sz w:val="30"/>
          <w:szCs w:val="30"/>
        </w:rPr>
        <w:t>年、</w:t>
      </w:r>
      <w:r>
        <w:rPr>
          <w:rFonts w:ascii="仿宋_GB2312" w:eastAsia="仿宋_GB2312" w:hint="eastAsia"/>
          <w:sz w:val="30"/>
          <w:szCs w:val="30"/>
        </w:rPr>
        <w:t>30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因子是基于期权剩余期限确定的期权隐含波动率。期权的基础资产为商品。期限为</w:t>
      </w:r>
      <w:r>
        <w:rPr>
          <w:rFonts w:ascii="仿宋_GB2312" w:eastAsia="仿宋_GB2312"/>
          <w:sz w:val="30"/>
          <w:szCs w:val="30"/>
        </w:rPr>
        <w:t>0.</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）曲度风险因子是商品即期（或现货）价格。</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）对于部分商品，若远期或期货交易较即期交易更频繁、流动性更充足，可采用远期价格、期货价格或即期（或现货）价格作为得尔塔与曲度风险因子。</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敏感度</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）得尔塔敏感度的计算方法为商品即期（或现货）价格变化</w:t>
      </w:r>
      <w:r>
        <w:rPr>
          <w:rFonts w:ascii="仿宋_GB2312" w:eastAsia="仿宋_GB2312" w:hint="eastAsia"/>
          <w:sz w:val="30"/>
          <w:szCs w:val="30"/>
        </w:rPr>
        <w:t>1</w:t>
      </w:r>
      <w:r>
        <w:rPr>
          <w:rFonts w:ascii="仿宋_GB2312" w:eastAsia="仿宋_GB2312" w:hint="eastAsia"/>
          <w:sz w:val="30"/>
          <w:szCs w:val="30"/>
        </w:rPr>
        <w:t>个百分点引起市场价值的变化量，再除以</w:t>
      </w:r>
      <w:r>
        <w:rPr>
          <w:rFonts w:ascii="仿宋_GB2312" w:eastAsia="仿宋_GB2312" w:hint="eastAsia"/>
          <w:sz w:val="30"/>
          <w:szCs w:val="30"/>
        </w:rPr>
        <w:t>0.01</w:t>
      </w:r>
      <w:r>
        <w:rPr>
          <w:rFonts w:ascii="仿宋_GB2312" w:eastAsia="仿宋_GB2312" w:hint="eastAsia"/>
          <w:sz w:val="30"/>
          <w:szCs w:val="30"/>
        </w:rPr>
        <w:t>。具体公式如下：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w:dxaOrig="3200" w:dyaOrig="707">
          <v:shape id="_x0000_i1177" type="#_x0000_t75" style="width:160.05pt;height:35.3pt" o:ole="">
            <v:imagedata r:id="rId241" o:title=""/>
          </v:shape>
          <o:OLEObject Type="Embed" ProgID="Equation.DSMT4" ShapeID="_x0000_i1177" DrawAspect="Content" ObjectID="_1765373745" r:id="rId242"/>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其中</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t>a.</w:t>
      </w:r>
      <w:proofErr w:type="gramEnd"/>
      <w:r>
        <w:rPr>
          <w:position w:val="-12"/>
          <w:sz w:val="30"/>
          <w:szCs w:val="30"/>
        </w:rPr>
        <w:object w:dxaOrig="547" w:dyaOrig="320">
          <v:shape id="_x0000_i1178" type="#_x0000_t75" style="width:27.45pt;height:16.05pt" o:ole="">
            <v:imagedata r:id="rId243" o:title=""/>
          </v:shape>
          <o:OLEObject Type="Embed" ProgID="Equation.DSMT4" ShapeID="_x0000_i1178" DrawAspect="Content" ObjectID="_1765373746" r:id="rId244"/>
        </w:object>
      </w:r>
      <w:r>
        <w:rPr>
          <w:rFonts w:ascii="仿宋_GB2312" w:eastAsia="仿宋_GB2312"/>
          <w:sz w:val="30"/>
          <w:szCs w:val="30"/>
        </w:rPr>
        <w:fldChar w:fldCharType="begin"/>
      </w:r>
      <w:r>
        <w:rPr>
          <w:rFonts w:ascii="仿宋_GB2312" w:eastAsia="仿宋_GB2312"/>
          <w:sz w:val="30"/>
          <w:szCs w:val="30"/>
        </w:rPr>
        <w:instrText xml:space="preserve"> QUOTE </w:instrText>
      </w:r>
      <w:r w:rsidR="00715E45">
        <w:rPr>
          <w:position w:val="-8"/>
          <w:sz w:val="30"/>
          <w:szCs w:val="30"/>
        </w:rPr>
        <w:pict>
          <v:shape id="_x0000_i1179" type="#_x0000_t75" style="width:22.8pt;height:16.0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172A27&quot;/&gt;&lt;wsp:rsid wsp:val=&quot;0000188F&quot;/&gt;&lt;wsp:rsid wsp:val=&quot;000040E4&quot;/&gt;&lt;wsp:rsid wsp:val=&quot;000101C5&quot;/&gt;&lt;wsp:rsid wsp:val=&quot;00012101&quot;/&gt;&lt;wsp:rsid wsp:val=&quot;0001559B&quot;/&gt;&lt;wsp:rsid wsp:val=&quot;000163C2&quot;/&gt;&lt;wsp:rsid wsp:val=&quot;000208AB&quot;/&gt;&lt;wsp:rsid wsp:val=&quot;0002097E&quot;/&gt;&lt;wsp:rsid wsp:val=&quot;00020F88&quot;/&gt;&lt;wsp:rsid wsp:val=&quot;0002411C&quot;/&gt;&lt;wsp:rsid wsp:val=&quot;000265F9&quot;/&gt;&lt;wsp:rsid wsp:val=&quot;0002671E&quot;/&gt;&lt;wsp:rsid wsp:val=&quot;00033330&quot;/&gt;&lt;wsp:rsid wsp:val=&quot;00034CD4&quot;/&gt;&lt;wsp:rsid wsp:val=&quot;00035CA5&quot;/&gt;&lt;wsp:rsid wsp:val=&quot;000368B5&quot;/&gt;&lt;wsp:rsid wsp:val=&quot;00036AF1&quot;/&gt;&lt;wsp:rsid wsp:val=&quot;00045C4B&quot;/&gt;&lt;wsp:rsid wsp:val=&quot;00047D0E&quot;/&gt;&lt;wsp:rsid wsp:val=&quot;00060154&quot;/&gt;&lt;wsp:rsid wsp:val=&quot;00063822&quot;/&gt;&lt;wsp:rsid wsp:val=&quot;00064401&quot;/&gt;&lt;wsp:rsid wsp:val=&quot;00071E7C&quot;/&gt;&lt;wsp:rsid wsp:val=&quot;00073BF3&quot;/&gt;&lt;wsp:rsid wsp:val=&quot;00073E9F&quot;/&gt;&lt;wsp:rsid wsp:val=&quot;00074126&quot;/&gt;&lt;wsp:rsid wsp:val=&quot;00074148&quot;/&gt;&lt;wsp:rsid wsp:val=&quot;00074E55&quot;/&gt;&lt;wsp:rsid wsp:val=&quot;0007751B&quot;/&gt;&lt;wsp:rsid wsp:val=&quot;0008715E&quot;/&gt;&lt;wsp:rsid wsp:val=&quot;00090F74&quot;/&gt;&lt;wsp:rsid wsp:val=&quot;0009265A&quot;/&gt;&lt;wsp:rsid wsp:val=&quot;000927BE&quot;/&gt;&lt;wsp:rsid wsp:val=&quot;000927D2&quot;/&gt;&lt;wsp:rsid wsp:val=&quot;00094DF9&quot;/&gt;&lt;wsp:rsid wsp:val=&quot;00095F1B&quot;/&gt;&lt;wsp:rsid wsp:val=&quot;00096D89&quot;/&gt;&lt;wsp:rsid wsp:val=&quot;000A280F&quot;/&gt;&lt;wsp:rsid wsp:val=&quot;000A426A&quot;/&gt;&lt;wsp:rsid wsp:val=&quot;000A5EFE&quot;/&gt;&lt;wsp:rsid wsp:val=&quot;000A6041&quot;/&gt;&lt;wsp:rsid wsp:val=&quot;000A7FC1&quot;/&gt;&lt;wsp:rsid wsp:val=&quot;000B09AF&quot;/&gt;&lt;wsp:rsid wsp:val=&quot;000B0D4A&quot;/&gt;&lt;wsp:rsid wsp:val=&quot;000B0D63&quot;/&gt;&lt;wsp:rsid wsp:val=&quot;000B4E61&quot;/&gt;&lt;wsp:rsid wsp:val=&quot;000C2DB5&quot;/&gt;&lt;wsp:rsid wsp:val=&quot;000C4261&quot;/&gt;&lt;wsp:rsid wsp:val=&quot;000C5336&quot;/&gt;&lt;wsp:rsid wsp:val=&quot;000C7D7F&quot;/&gt;&lt;wsp:rsid wsp:val=&quot;000D0106&quot;/&gt;&lt;wsp:rsid wsp:val=&quot;000D2E1B&quot;/&gt;&lt;wsp:rsid wsp:val=&quot;000D56EE&quot;/&gt;&lt;wsp:rsid wsp:val=&quot;000E0C7F&quot;/&gt;&lt;wsp:rsid wsp:val=&quot;000E5582&quot;/&gt;&lt;wsp:rsid wsp:val=&quot;000E5E4A&quot;/&gt;&lt;wsp:rsid wsp:val=&quot;000E6ABE&quot;/&gt;&lt;wsp:rsid wsp:val=&quot;000F094D&quot;/&gt;&lt;wsp:rsid wsp:val=&quot;000F1F97&quot;/&gt;&lt;wsp:rsid wsp:val=&quot;000F2038&quot;/&gt;&lt;wsp:rsid wsp:val=&quot;000F23E3&quot;/&gt;&lt;wsp:rsid wsp:val=&quot;000F2DF9&quot;/&gt;&lt;wsp:rsid wsp:val=&quot;000F3581&quot;/&gt;&lt;wsp:rsid wsp:val=&quot;000F5A98&quot;/&gt;&lt;wsp:rsid wsp:val=&quot;00102A2B&quot;/&gt;&lt;wsp:rsid wsp:val=&quot;0010560C&quot;/&gt;&lt;wsp:rsid wsp:val=&quot;00106FD6&quot;/&gt;&lt;wsp:rsid wsp:val=&quot;001071C2&quot;/&gt;&lt;wsp:rsid wsp:val=&quot;00107BFF&quot;/&gt;&lt;wsp:rsid wsp:val=&quot;00110A14&quot;/&gt;&lt;wsp:rsid wsp:val=&quot;001110EA&quot;/&gt;&lt;wsp:rsid wsp:val=&quot;00134A3A&quot;/&gt;&lt;wsp:rsid wsp:val=&quot;00134EF5&quot;/&gt;&lt;wsp:rsid wsp:val=&quot;0014367E&quot;/&gt;&lt;wsp:rsid wsp:val=&quot;001437F3&quot;/&gt;&lt;wsp:rsid wsp:val=&quot;00143E43&quot;/&gt;&lt;wsp:rsid wsp:val=&quot;00146D18&quot;/&gt;&lt;wsp:rsid wsp:val=&quot;0014733E&quot;/&gt;&lt;wsp:rsid wsp:val=&quot;00147956&quot;/&gt;&lt;wsp:rsid wsp:val=&quot;00147EA9&quot;/&gt;&lt;wsp:rsid wsp:val=&quot;00151765&quot;/&gt;&lt;wsp:rsid wsp:val=&quot;00153B23&quot;/&gt;&lt;wsp:rsid wsp:val=&quot;00154C7A&quot;/&gt;&lt;wsp:rsid wsp:val=&quot;00155B2A&quot;/&gt;&lt;wsp:rsid wsp:val=&quot;0016563F&quot;/&gt;&lt;wsp:rsid wsp:val=&quot;00172A27&quot;/&gt;&lt;wsp:rsid wsp:val=&quot;001768F8&quot;/&gt;&lt;wsp:rsid wsp:val=&quot;0017699A&quot;/&gt;&lt;wsp:rsid wsp:val=&quot;0017757F&quot;/&gt;&lt;wsp:rsid wsp:val=&quot;00177B1A&quot;/&gt;&lt;wsp:rsid wsp:val=&quot;001808FC&quot;/&gt;&lt;wsp:rsid wsp:val=&quot;00181918&quot;/&gt;&lt;wsp:rsid wsp:val=&quot;00190CF8&quot;/&gt;&lt;wsp:rsid wsp:val=&quot;001A09F6&quot;/&gt;&lt;wsp:rsid wsp:val=&quot;001A0D57&quot;/&gt;&lt;wsp:rsid wsp:val=&quot;001A148D&quot;/&gt;&lt;wsp:rsid wsp:val=&quot;001A5DC4&quot;/&gt;&lt;wsp:rsid wsp:val=&quot;001A6B81&quot;/&gt;&lt;wsp:rsid wsp:val=&quot;001B155B&quot;/&gt;&lt;wsp:rsid wsp:val=&quot;001B1FC4&quot;/&gt;&lt;wsp:rsid wsp:val=&quot;001B23D0&quot;/&gt;&lt;wsp:rsid wsp:val=&quot;001C1658&quot;/&gt;&lt;wsp:rsid wsp:val=&quot;001C1CEE&quot;/&gt;&lt;wsp:rsid wsp:val=&quot;001C25B7&quot;/&gt;&lt;wsp:rsid wsp:val=&quot;001C4F59&quot;/&gt;&lt;wsp:rsid wsp:val=&quot;001C72A4&quot;/&gt;&lt;wsp:rsid wsp:val=&quot;001D1487&quot;/&gt;&lt;wsp:rsid wsp:val=&quot;001D2A44&quot;/&gt;&lt;wsp:rsid wsp:val=&quot;001D30C3&quot;/&gt;&lt;wsp:rsid wsp:val=&quot;001D3AD8&quot;/&gt;&lt;wsp:rsid wsp:val=&quot;001D70DD&quot;/&gt;&lt;wsp:rsid wsp:val=&quot;001E12F5&quot;/&gt;&lt;wsp:rsid wsp:val=&quot;001E320F&quot;/&gt;&lt;wsp:rsid wsp:val=&quot;001F1C14&quot;/&gt;&lt;wsp:rsid wsp:val=&quot;001F210C&quot;/&gt;&lt;wsp:rsid wsp:val=&quot;001F3177&quot;/&gt;&lt;wsp:rsid wsp:val=&quot;001F32EB&quot;/&gt;&lt;wsp:rsid wsp:val=&quot;001F3C35&quot;/&gt;&lt;wsp:rsid wsp:val=&quot;001F6FC6&quot;/&gt;&lt;wsp:rsid wsp:val=&quot;001F7154&quot;/&gt;&lt;wsp:rsid wsp:val=&quot;001F71E3&quot;/&gt;&lt;wsp:rsid wsp:val=&quot;00203BB5&quot;/&gt;&lt;wsp:rsid wsp:val=&quot;00204F5B&quot;/&gt;&lt;wsp:rsid wsp:val=&quot;0020509A&quot;/&gt;&lt;wsp:rsid wsp:val=&quot;00210AFE&quot;/&gt;&lt;wsp:rsid wsp:val=&quot;002200EA&quot;/&gt;&lt;wsp:rsid wsp:val=&quot;002206FC&quot;/&gt;&lt;wsp:rsid wsp:val=&quot;00220DF6&quot;/&gt;&lt;wsp:rsid wsp:val=&quot;00221E0D&quot;/&gt;&lt;wsp:rsid wsp:val=&quot;00233035&quot;/&gt;&lt;wsp:rsid wsp:val=&quot;002369A8&quot;/&gt;&lt;wsp:rsid wsp:val=&quot;00242B03&quot;/&gt;&lt;wsp:rsid wsp:val=&quot;002447E9&quot;/&gt;&lt;wsp:rsid wsp:val=&quot;00250B9A&quot;/&gt;&lt;wsp:rsid wsp:val=&quot;00253E69&quot;/&gt;&lt;wsp:rsid wsp:val=&quot;00265530&quot;/&gt;&lt;wsp:rsid wsp:val=&quot;00265C1C&quot;/&gt;&lt;wsp:rsid wsp:val=&quot;00266934&quot;/&gt;&lt;wsp:rsid wsp:val=&quot;00266BF5&quot;/&gt;&lt;wsp:rsid wsp:val=&quot;00267F63&quot;/&gt;&lt;wsp:rsid wsp:val=&quot;0028004C&quot;/&gt;&lt;wsp:rsid wsp:val=&quot;0028220A&quot;/&gt;&lt;wsp:rsid wsp:val=&quot;00282AC5&quot;/&gt;&lt;wsp:rsid wsp:val=&quot;0028442F&quot;/&gt;&lt;wsp:rsid wsp:val=&quot;00284FCD&quot;/&gt;&lt;wsp:rsid wsp:val=&quot;00285F22&quot;/&gt;&lt;wsp:rsid wsp:val=&quot;0029147B&quot;/&gt;&lt;wsp:rsid wsp:val=&quot;00292699&quot;/&gt;&lt;wsp:rsid wsp:val=&quot;0029281E&quot;/&gt;&lt;wsp:rsid wsp:val=&quot;00292984&quot;/&gt;&lt;wsp:rsid wsp:val=&quot;0029432B&quot;/&gt;&lt;wsp:rsid wsp:val=&quot;00294B52&quot;/&gt;&lt;wsp:rsid wsp:val=&quot;002B1D21&quot;/&gt;&lt;wsp:rsid wsp:val=&quot;002B53F4&quot;/&gt;&lt;wsp:rsid wsp:val=&quot;002B6B54&quot;/&gt;&lt;wsp:rsid wsp:val=&quot;002C3A9D&quot;/&gt;&lt;wsp:rsid wsp:val=&quot;002D1260&quot;/&gt;&lt;wsp:rsid wsp:val=&quot;002D4C5F&quot;/&gt;&lt;wsp:rsid wsp:val=&quot;002D539F&quot;/&gt;&lt;wsp:rsid wsp:val=&quot;002D7E56&quot;/&gt;&lt;wsp:rsid wsp:val=&quot;002D7FDD&quot;/&gt;&lt;wsp:rsid wsp:val=&quot;002E093C&quot;/&gt;&lt;wsp:rsid wsp:val=&quot;002E3BFD&quot;/&gt;&lt;wsp:rsid wsp:val=&quot;002E4BB8&quot;/&gt;&lt;wsp:rsid wsp:val=&quot;002F02E1&quot;/&gt;&lt;wsp:rsid wsp:val=&quot;002F50A3&quot;/&gt;&lt;wsp:rsid wsp:val=&quot;002F6A24&quot;/&gt;&lt;wsp:rsid wsp:val=&quot;0030699D&quot;/&gt;&lt;wsp:rsid wsp:val=&quot;00316794&quot;/&gt;&lt;wsp:rsid wsp:val=&quot;003171EF&quot;/&gt;&lt;wsp:rsid wsp:val=&quot;00320A79&quot;/&gt;&lt;wsp:rsid wsp:val=&quot;00323430&quot;/&gt;&lt;wsp:rsid wsp:val=&quot;00334AC9&quot;/&gt;&lt;wsp:rsid wsp:val=&quot;003458FF&quot;/&gt;&lt;wsp:rsid wsp:val=&quot;00345D37&quot;/&gt;&lt;wsp:rsid wsp:val=&quot;00353567&quot;/&gt;&lt;wsp:rsid wsp:val=&quot;00354F84&quot;/&gt;&lt;wsp:rsid wsp:val=&quot;003554BD&quot;/&gt;&lt;wsp:rsid wsp:val=&quot;0036312F&quot;/&gt;&lt;wsp:rsid wsp:val=&quot;0036323E&quot;/&gt;&lt;wsp:rsid wsp:val=&quot;0036481D&quot;/&gt;&lt;wsp:rsid wsp:val=&quot;003726CB&quot;/&gt;&lt;wsp:rsid wsp:val=&quot;0037302B&quot;/&gt;&lt;wsp:rsid wsp:val=&quot;00375418&quot;/&gt;&lt;wsp:rsid wsp:val=&quot;00376D04&quot;/&gt;&lt;wsp:rsid wsp:val=&quot;00381D0F&quot;/&gt;&lt;wsp:rsid wsp:val=&quot;00382D4C&quot;/&gt;&lt;wsp:rsid wsp:val=&quot;00391B7E&quot;/&gt;&lt;wsp:rsid wsp:val=&quot;00393348&quot;/&gt;&lt;wsp:rsid wsp:val=&quot;003937A1&quot;/&gt;&lt;wsp:rsid wsp:val=&quot;00395FFC&quot;/&gt;&lt;wsp:rsid wsp:val=&quot;0039645A&quot;/&gt;&lt;wsp:rsid wsp:val=&quot;0039749A&quot;/&gt;&lt;wsp:rsid wsp:val=&quot;003A0A7B&quot;/&gt;&lt;wsp:rsid wsp:val=&quot;003A1A54&quot;/&gt;&lt;wsp:rsid wsp:val=&quot;003A62E6&quot;/&gt;&lt;wsp:rsid wsp:val=&quot;003A7C40&quot;/&gt;&lt;wsp:rsid wsp:val=&quot;003B1BF9&quot;/&gt;&lt;wsp:rsid wsp:val=&quot;003B2462&quot;/&gt;&lt;wsp:rsid wsp:val=&quot;003B361F&quot;/&gt;&lt;wsp:rsid wsp:val=&quot;003B3B22&quot;/&gt;&lt;wsp:rsid wsp:val=&quot;003B4336&quot;/&gt;&lt;wsp:rsid wsp:val=&quot;003B7773&quot;/&gt;&lt;wsp:rsid wsp:val=&quot;003C02C8&quot;/&gt;&lt;wsp:rsid wsp:val=&quot;003C3902&quot;/&gt;&lt;wsp:rsid wsp:val=&quot;003C56B6&quot;/&gt;&lt;wsp:rsid wsp:val=&quot;003C5CD4&quot;/&gt;&lt;wsp:rsid wsp:val=&quot;003D25FC&quot;/&gt;&lt;wsp:rsid wsp:val=&quot;003D6C3C&quot;/&gt;&lt;wsp:rsid wsp:val=&quot;003E1168&quot;/&gt;&lt;wsp:rsid wsp:val=&quot;003E14F1&quot;/&gt;&lt;wsp:rsid wsp:val=&quot;003E1F32&quot;/&gt;&lt;wsp:rsid wsp:val=&quot;003F0A41&quot;/&gt;&lt;wsp:rsid wsp:val=&quot;003F1056&quot;/&gt;&lt;wsp:rsid wsp:val=&quot;003F17A4&quot;/&gt;&lt;wsp:rsid wsp:val=&quot;003F505F&quot;/&gt;&lt;wsp:rsid wsp:val=&quot;003F69AC&quot;/&gt;&lt;wsp:rsid wsp:val=&quot;003F7C7C&quot;/&gt;&lt;wsp:rsid wsp:val=&quot;00402B94&quot;/&gt;&lt;wsp:rsid wsp:val=&quot;00402BB7&quot;/&gt;&lt;wsp:rsid wsp:val=&quot;004049FE&quot;/&gt;&lt;wsp:rsid wsp:val=&quot;004101B0&quot;/&gt;&lt;wsp:rsid wsp:val=&quot;004123CF&quot;/&gt;&lt;wsp:rsid wsp:val=&quot;00424DF0&quot;/&gt;&lt;wsp:rsid wsp:val=&quot;00425FEC&quot;/&gt;&lt;wsp:rsid wsp:val=&quot;00426E6E&quot;/&gt;&lt;wsp:rsid wsp:val=&quot;0042729A&quot;/&gt;&lt;wsp:rsid wsp:val=&quot;004327D9&quot;/&gt;&lt;wsp:rsid wsp:val=&quot;004340AE&quot;/&gt;&lt;wsp:rsid wsp:val=&quot;0043552F&quot;/&gt;&lt;wsp:rsid wsp:val=&quot;00443DFB&quot;/&gt;&lt;wsp:rsid wsp:val=&quot;00444518&quot;/&gt;&lt;wsp:rsid wsp:val=&quot;00444F91&quot;/&gt;&lt;wsp:rsid wsp:val=&quot;004471C0&quot;/&gt;&lt;wsp:rsid wsp:val=&quot;00447946&quot;/&gt;&lt;wsp:rsid wsp:val=&quot;004509CB&quot;/&gt;&lt;wsp:rsid wsp:val=&quot;00450B68&quot;/&gt;&lt;wsp:rsid wsp:val=&quot;00451163&quot;/&gt;&lt;wsp:rsid wsp:val=&quot;0045622E&quot;/&gt;&lt;wsp:rsid wsp:val=&quot;004647F7&quot;/&gt;&lt;wsp:rsid wsp:val=&quot;00465A73&quot;/&gt;&lt;wsp:rsid wsp:val=&quot;00466805&quot;/&gt;&lt;wsp:rsid wsp:val=&quot;00471E0D&quot;/&gt;&lt;wsp:rsid wsp:val=&quot;00472DDD&quot;/&gt;&lt;wsp:rsid wsp:val=&quot;00472EDE&quot;/&gt;&lt;wsp:rsid wsp:val=&quot;0047507D&quot;/&gt;&lt;wsp:rsid wsp:val=&quot;00475598&quot;/&gt;&lt;wsp:rsid wsp:val=&quot;00475967&quot;/&gt;&lt;wsp:rsid wsp:val=&quot;00476F5C&quot;/&gt;&lt;wsp:rsid wsp:val=&quot;00480009&quot;/&gt;&lt;wsp:rsid wsp:val=&quot;004908AF&quot;/&gt;&lt;wsp:rsid wsp:val=&quot;004A2F5C&quot;/&gt;&lt;wsp:rsid wsp:val=&quot;004A4A7C&quot;/&gt;&lt;wsp:rsid wsp:val=&quot;004A4FC9&quot;/&gt;&lt;wsp:rsid wsp:val=&quot;004A653D&quot;/&gt;&lt;wsp:rsid wsp:val=&quot;004A7F44&quot;/&gt;&lt;wsp:rsid wsp:val=&quot;004B0AB6&quot;/&gt;&lt;wsp:rsid wsp:val=&quot;004B6F07&quot;/&gt;&lt;wsp:rsid wsp:val=&quot;004B74A5&quot;/&gt;&lt;wsp:rsid wsp:val=&quot;004C314F&quot;/&gt;&lt;wsp:rsid wsp:val=&quot;004D0CF6&quot;/&gt;&lt;wsp:rsid wsp:val=&quot;004D52EE&quot;/&gt;&lt;wsp:rsid wsp:val=&quot;004D7FB8&quot;/&gt;&lt;wsp:rsid wsp:val=&quot;004E2ABC&quot;/&gt;&lt;wsp:rsid wsp:val=&quot;004E2C19&quot;/&gt;&lt;wsp:rsid wsp:val=&quot;004E5A95&quot;/&gt;&lt;wsp:rsid wsp:val=&quot;004E6489&quot;/&gt;&lt;wsp:rsid wsp:val=&quot;004E78BA&quot;/&gt;&lt;wsp:rsid wsp:val=&quot;004F5C5D&quot;/&gt;&lt;wsp:rsid wsp:val=&quot;004F63D3&quot;/&gt;&lt;wsp:rsid wsp:val=&quot;004F7A5C&quot;/&gt;&lt;wsp:rsid wsp:val=&quot;00506737&quot;/&gt;&lt;wsp:rsid wsp:val=&quot;00507F65&quot;/&gt;&lt;wsp:rsid wsp:val=&quot;00507FFE&quot;/&gt;&lt;wsp:rsid wsp:val=&quot;00517690&quot;/&gt;&lt;wsp:rsid wsp:val=&quot;00524BC8&quot;/&gt;&lt;wsp:rsid wsp:val=&quot;00524D52&quot;/&gt;&lt;wsp:rsid wsp:val=&quot;0053075A&quot;/&gt;&lt;wsp:rsid wsp:val=&quot;00532EDD&quot;/&gt;&lt;wsp:rsid wsp:val=&quot;005331DC&quot;/&gt;&lt;wsp:rsid wsp:val=&quot;005356D9&quot;/&gt;&lt;wsp:rsid wsp:val=&quot;00541062&quot;/&gt;&lt;wsp:rsid wsp:val=&quot;0054215A&quot;/&gt;&lt;wsp:rsid wsp:val=&quot;0054483B&quot;/&gt;&lt;wsp:rsid wsp:val=&quot;00553016&quot;/&gt;&lt;wsp:rsid wsp:val=&quot;00557E51&quot;/&gt;&lt;wsp:rsid wsp:val=&quot;0056180F&quot;/&gt;&lt;wsp:rsid wsp:val=&quot;00566022&quot;/&gt;&lt;wsp:rsid wsp:val=&quot;00566EC8&quot;/&gt;&lt;wsp:rsid wsp:val=&quot;0057075C&quot;/&gt;&lt;wsp:rsid wsp:val=&quot;00571829&quot;/&gt;&lt;wsp:rsid wsp:val=&quot;00575244&quot;/&gt;&lt;wsp:rsid wsp:val=&quot;00585671&quot;/&gt;&lt;wsp:rsid wsp:val=&quot;00587017&quot;/&gt;&lt;wsp:rsid wsp:val=&quot;005907E0&quot;/&gt;&lt;wsp:rsid wsp:val=&quot;0059729A&quot;/&gt;&lt;wsp:rsid wsp:val=&quot;00597DDC&quot;/&gt;&lt;wsp:rsid wsp:val=&quot;005A2953&quot;/&gt;&lt;wsp:rsid wsp:val=&quot;005A421B&quot;/&gt;&lt;wsp:rsid wsp:val=&quot;005A5F31&quot;/&gt;&lt;wsp:rsid wsp:val=&quot;005B50EC&quot;/&gt;&lt;wsp:rsid wsp:val=&quot;005B6AEA&quot;/&gt;&lt;wsp:rsid wsp:val=&quot;005C0945&quot;/&gt;&lt;wsp:rsid wsp:val=&quot;005C31CC&quot;/&gt;&lt;wsp:rsid wsp:val=&quot;005C383E&quot;/&gt;&lt;wsp:rsid wsp:val=&quot;005C3C7D&quot;/&gt;&lt;wsp:rsid wsp:val=&quot;005D17CC&quot;/&gt;&lt;wsp:rsid wsp:val=&quot;005D27B3&quot;/&gt;&lt;wsp:rsid wsp:val=&quot;005D784C&quot;/&gt;&lt;wsp:rsid wsp:val=&quot;005E17D2&quot;/&gt;&lt;wsp:rsid wsp:val=&quot;005E2FE9&quot;/&gt;&lt;wsp:rsid wsp:val=&quot;005E7B23&quot;/&gt;&lt;wsp:rsid wsp:val=&quot;005F0DF8&quot;/&gt;&lt;wsp:rsid wsp:val=&quot;005F141C&quot;/&gt;&lt;wsp:rsid wsp:val=&quot;005F3C18&quot;/&gt;&lt;wsp:rsid wsp:val=&quot;005F4C45&quot;/&gt;&lt;wsp:rsid wsp:val=&quot;00607C0C&quot;/&gt;&lt;wsp:rsid wsp:val=&quot;00607DD9&quot;/&gt;&lt;wsp:rsid wsp:val=&quot;00611704&quot;/&gt;&lt;wsp:rsid wsp:val=&quot;0061448F&quot;/&gt;&lt;wsp:rsid wsp:val=&quot;00616748&quot;/&gt;&lt;wsp:rsid wsp:val=&quot;00620B7E&quot;/&gt;&lt;wsp:rsid wsp:val=&quot;00624E28&quot;/&gt;&lt;wsp:rsid wsp:val=&quot;00634120&quot;/&gt;&lt;wsp:rsid wsp:val=&quot;006364D1&quot;/&gt;&lt;wsp:rsid wsp:val=&quot;006369DD&quot;/&gt;&lt;wsp:rsid wsp:val=&quot;0064698A&quot;/&gt;&lt;wsp:rsid wsp:val=&quot;00646C6B&quot;/&gt;&lt;wsp:rsid wsp:val=&quot;00646C8A&quot;/&gt;&lt;wsp:rsid wsp:val=&quot;00650F9C&quot;/&gt;&lt;wsp:rsid wsp:val=&quot;006521B2&quot;/&gt;&lt;wsp:rsid wsp:val=&quot;006569AF&quot;/&gt;&lt;wsp:rsid wsp:val=&quot;00660A3F&quot;/&gt;&lt;wsp:rsid wsp:val=&quot;00660AC7&quot;/&gt;&lt;wsp:rsid wsp:val=&quot;00660BA4&quot;/&gt;&lt;wsp:rsid wsp:val=&quot;00661BA8&quot;/&gt;&lt;wsp:rsid wsp:val=&quot;00664543&quot;/&gt;&lt;wsp:rsid wsp:val=&quot;00664802&quot;/&gt;&lt;wsp:rsid wsp:val=&quot;00665F3E&quot;/&gt;&lt;wsp:rsid wsp:val=&quot;00675CC4&quot;/&gt;&lt;wsp:rsid wsp:val=&quot;00675FCE&quot;/&gt;&lt;wsp:rsid wsp:val=&quot;006761A7&quot;/&gt;&lt;wsp:rsid wsp:val=&quot;00680E57&quot;/&gt;&lt;wsp:rsid wsp:val=&quot;00682C98&quot;/&gt;&lt;wsp:rsid wsp:val=&quot;006871F1&quot;/&gt;&lt;wsp:rsid wsp:val=&quot;00697259&quot;/&gt;&lt;wsp:rsid wsp:val=&quot;006A36DB&quot;/&gt;&lt;wsp:rsid wsp:val=&quot;006A3D65&quot;/&gt;&lt;wsp:rsid wsp:val=&quot;006A432B&quot;/&gt;&lt;wsp:rsid wsp:val=&quot;006A6818&quot;/&gt;&lt;wsp:rsid wsp:val=&quot;006B0080&quot;/&gt;&lt;wsp:rsid wsp:val=&quot;006B1451&quot;/&gt;&lt;wsp:rsid wsp:val=&quot;006B1DDC&quot;/&gt;&lt;wsp:rsid wsp:val=&quot;006B26C5&quot;/&gt;&lt;wsp:rsid wsp:val=&quot;006B5C33&quot;/&gt;&lt;wsp:rsid wsp:val=&quot;006B7A8D&quot;/&gt;&lt;wsp:rsid wsp:val=&quot;006B7EC4&quot;/&gt;&lt;wsp:rsid wsp:val=&quot;006C4239&quot;/&gt;&lt;wsp:rsid wsp:val=&quot;006D0547&quot;/&gt;&lt;wsp:rsid wsp:val=&quot;006D5E04&quot;/&gt;&lt;wsp:rsid wsp:val=&quot;006D69C8&quot;/&gt;&lt;wsp:rsid wsp:val=&quot;006E3E0C&quot;/&gt;&lt;wsp:rsid wsp:val=&quot;006E54A6&quot;/&gt;&lt;wsp:rsid wsp:val=&quot;006E68A1&quot;/&gt;&lt;wsp:rsid wsp:val=&quot;006F0ECA&quot;/&gt;&lt;wsp:rsid wsp:val=&quot;006F466B&quot;/&gt;&lt;wsp:rsid wsp:val=&quot;006F4C25&quot;/&gt;&lt;wsp:rsid wsp:val=&quot;006F7431&quot;/&gt;&lt;wsp:rsid wsp:val=&quot;00704B4D&quot;/&gt;&lt;wsp:rsid wsp:val=&quot;007062F1&quot;/&gt;&lt;wsp:rsid wsp:val=&quot;00722214&quot;/&gt;&lt;wsp:rsid wsp:val=&quot;00731021&quot;/&gt;&lt;wsp:rsid wsp:val=&quot;00731537&quot;/&gt;&lt;wsp:rsid wsp:val=&quot;00732028&quot;/&gt;&lt;wsp:rsid wsp:val=&quot;00732567&quot;/&gt;&lt;wsp:rsid wsp:val=&quot;007330AF&quot;/&gt;&lt;wsp:rsid wsp:val=&quot;00733464&quot;/&gt;&lt;wsp:rsid wsp:val=&quot;00736EBE&quot;/&gt;&lt;wsp:rsid wsp:val=&quot;007406FB&quot;/&gt;&lt;wsp:rsid wsp:val=&quot;00740774&quot;/&gt;&lt;wsp:rsid wsp:val=&quot;00744471&quot;/&gt;&lt;wsp:rsid wsp:val=&quot;0074454B&quot;/&gt;&lt;wsp:rsid wsp:val=&quot;007456C2&quot;/&gt;&lt;wsp:rsid wsp:val=&quot;00750A7C&quot;/&gt;&lt;wsp:rsid wsp:val=&quot;00750E5F&quot;/&gt;&lt;wsp:rsid wsp:val=&quot;00750E70&quot;/&gt;&lt;wsp:rsid wsp:val=&quot;00756549&quot;/&gt;&lt;wsp:rsid wsp:val=&quot;00756B1B&quot;/&gt;&lt;wsp:rsid wsp:val=&quot;00761CA4&quot;/&gt;&lt;wsp:rsid wsp:val=&quot;007653CC&quot;/&gt;&lt;wsp:rsid wsp:val=&quot;00770C11&quot;/&gt;&lt;wsp:rsid wsp:val=&quot;00771029&quot;/&gt;&lt;wsp:rsid wsp:val=&quot;00772EBC&quot;/&gt;&lt;wsp:rsid wsp:val=&quot;00777A21&quot;/&gt;&lt;wsp:rsid wsp:val=&quot;00780D73&quot;/&gt;&lt;wsp:rsid wsp:val=&quot;0078590C&quot;/&gt;&lt;wsp:rsid wsp:val=&quot;00786100&quot;/&gt;&lt;wsp:rsid wsp:val=&quot;007875A4&quot;/&gt;&lt;wsp:rsid wsp:val=&quot;00791D3C&quot;/&gt;&lt;wsp:rsid wsp:val=&quot;0079348E&quot;/&gt;&lt;wsp:rsid wsp:val=&quot;00794464&quot;/&gt;&lt;wsp:rsid wsp:val=&quot;00797158&quot;/&gt;&lt;wsp:rsid wsp:val=&quot;007A0D33&quot;/&gt;&lt;wsp:rsid wsp:val=&quot;007A1C74&quot;/&gt;&lt;wsp:rsid wsp:val=&quot;007A30BC&quot;/&gt;&lt;wsp:rsid wsp:val=&quot;007A61E1&quot;/&gt;&lt;wsp:rsid wsp:val=&quot;007A6277&quot;/&gt;&lt;wsp:rsid wsp:val=&quot;007B0E32&quot;/&gt;&lt;wsp:rsid wsp:val=&quot;007B1A31&quot;/&gt;&lt;wsp:rsid wsp:val=&quot;007B3E64&quot;/&gt;&lt;wsp:rsid wsp:val=&quot;007B647F&quot;/&gt;&lt;wsp:rsid wsp:val=&quot;007B6DA9&quot;/&gt;&lt;wsp:rsid wsp:val=&quot;007C1E00&quot;/&gt;&lt;wsp:rsid wsp:val=&quot;007C434E&quot;/&gt;&lt;wsp:rsid wsp:val=&quot;007C71C9&quot;/&gt;&lt;wsp:rsid wsp:val=&quot;007D1E51&quot;/&gt;&lt;wsp:rsid wsp:val=&quot;007D1EED&quot;/&gt;&lt;wsp:rsid wsp:val=&quot;007D4A2D&quot;/&gt;&lt;wsp:rsid wsp:val=&quot;007D57FB&quot;/&gt;&lt;wsp:rsid wsp:val=&quot;007D7570&quot;/&gt;&lt;wsp:rsid wsp:val=&quot;007E0E44&quot;/&gt;&lt;wsp:rsid wsp:val=&quot;007E365D&quot;/&gt;&lt;wsp:rsid wsp:val=&quot;007E5406&quot;/&gt;&lt;wsp:rsid wsp:val=&quot;007F09B5&quot;/&gt;&lt;wsp:rsid wsp:val=&quot;007F0A81&quot;/&gt;&lt;wsp:rsid wsp:val=&quot;007F18BA&quot;/&gt;&lt;wsp:rsid wsp:val=&quot;007F3627&quot;/&gt;&lt;wsp:rsid wsp:val=&quot;008073A9&quot;/&gt;&lt;wsp:rsid wsp:val=&quot;00811788&quot;/&gt;&lt;wsp:rsid wsp:val=&quot;00812F77&quot;/&gt;&lt;wsp:rsid wsp:val=&quot;00816328&quot;/&gt;&lt;wsp:rsid wsp:val=&quot;00820505&quot;/&gt;&lt;wsp:rsid wsp:val=&quot;00822266&quot;/&gt;&lt;wsp:rsid wsp:val=&quot;0082268B&quot;/&gt;&lt;wsp:rsid wsp:val=&quot;0082448E&quot;/&gt;&lt;wsp:rsid wsp:val=&quot;008266AC&quot;/&gt;&lt;wsp:rsid wsp:val=&quot;00826F9F&quot;/&gt;&lt;wsp:rsid wsp:val=&quot;008274C3&quot;/&gt;&lt;wsp:rsid wsp:val=&quot;00836DE2&quot;/&gt;&lt;wsp:rsid wsp:val=&quot;0083735C&quot;/&gt;&lt;wsp:rsid wsp:val=&quot;00842D1C&quot;/&gt;&lt;wsp:rsid wsp:val=&quot;00843259&quot;/&gt;&lt;wsp:rsid wsp:val=&quot;008449CC&quot;/&gt;&lt;wsp:rsid wsp:val=&quot;00851E2E&quot;/&gt;&lt;wsp:rsid wsp:val=&quot;008520AE&quot;/&gt;&lt;wsp:rsid wsp:val=&quot;00853ACC&quot;/&gt;&lt;wsp:rsid wsp:val=&quot;00854CDF&quot;/&gt;&lt;wsp:rsid wsp:val=&quot;00854D28&quot;/&gt;&lt;wsp:rsid wsp:val=&quot;00855EE5&quot;/&gt;&lt;wsp:rsid wsp:val=&quot;0086395A&quot;/&gt;&lt;wsp:rsid wsp:val=&quot;00864BE1&quot;/&gt;&lt;wsp:rsid wsp:val=&quot;008721D3&quot;/&gt;&lt;wsp:rsid wsp:val=&quot;008725C1&quot;/&gt;&lt;wsp:rsid wsp:val=&quot;00873380&quot;/&gt;&lt;wsp:rsid wsp:val=&quot;00874906&quot;/&gt;&lt;wsp:rsid wsp:val=&quot;00890B26&quot;/&gt;&lt;wsp:rsid wsp:val=&quot;00895642&quot;/&gt;&lt;wsp:rsid wsp:val=&quot;00896E93&quot;/&gt;&lt;wsp:rsid wsp:val=&quot;00896FA4&quot;/&gt;&lt;wsp:rsid wsp:val=&quot;008A2836&quot;/&gt;&lt;wsp:rsid wsp:val=&quot;008A581D&quot;/&gt;&lt;wsp:rsid wsp:val=&quot;008B01F4&quot;/&gt;&lt;wsp:rsid wsp:val=&quot;008B5339&quot;/&gt;&lt;wsp:rsid wsp:val=&quot;008B7E2E&quot;/&gt;&lt;wsp:rsid wsp:val=&quot;008C6A52&quot;/&gt;&lt;wsp:rsid wsp:val=&quot;008C7EB7&quot;/&gt;&lt;wsp:rsid wsp:val=&quot;008D292C&quot;/&gt;&lt;wsp:rsid wsp:val=&quot;008D3C90&quot;/&gt;&lt;wsp:rsid wsp:val=&quot;008D5BC9&quot;/&gt;&lt;wsp:rsid wsp:val=&quot;008D68E0&quot;/&gt;&lt;wsp:rsid wsp:val=&quot;008E3665&quot;/&gt;&lt;wsp:rsid wsp:val=&quot;008E52E0&quot;/&gt;&lt;wsp:rsid wsp:val=&quot;008E6A2C&quot;/&gt;&lt;wsp:rsid wsp:val=&quot;008F1B16&quot;/&gt;&lt;wsp:rsid wsp:val=&quot;008F3BC4&quot;/&gt;&lt;wsp:rsid wsp:val=&quot;008F599B&quot;/&gt;&lt;wsp:rsid wsp:val=&quot;00901CCF&quot;/&gt;&lt;wsp:rsid wsp:val=&quot;009032D2&quot;/&gt;&lt;wsp:rsid wsp:val=&quot;0090730F&quot;/&gt;&lt;wsp:rsid wsp:val=&quot;0090764B&quot;/&gt;&lt;wsp:rsid wsp:val=&quot;00910EF3&quot;/&gt;&lt;wsp:rsid wsp:val=&quot;009147A5&quot;/&gt;&lt;wsp:rsid wsp:val=&quot;00917E33&quot;/&gt;&lt;wsp:rsid wsp:val=&quot;0092109C&quot;/&gt;&lt;wsp:rsid wsp:val=&quot;00922D14&quot;/&gt;&lt;wsp:rsid wsp:val=&quot;009238A2&quot;/&gt;&lt;wsp:rsid wsp:val=&quot;00925A39&quot;/&gt;&lt;wsp:rsid wsp:val=&quot;00926433&quot;/&gt;&lt;wsp:rsid wsp:val=&quot;00933666&quot;/&gt;&lt;wsp:rsid wsp:val=&quot;00934372&quot;/&gt;&lt;wsp:rsid wsp:val=&quot;00940C1B&quot;/&gt;&lt;wsp:rsid wsp:val=&quot;00941124&quot;/&gt;&lt;wsp:rsid wsp:val=&quot;00941DD4&quot;/&gt;&lt;wsp:rsid wsp:val=&quot;00942CCC&quot;/&gt;&lt;wsp:rsid wsp:val=&quot;009468BE&quot;/&gt;&lt;wsp:rsid wsp:val=&quot;009475A6&quot;/&gt;&lt;wsp:rsid wsp:val=&quot;0095146A&quot;/&gt;&lt;wsp:rsid wsp:val=&quot;00951DD6&quot;/&gt;&lt;wsp:rsid wsp:val=&quot;00952AA3&quot;/&gt;&lt;wsp:rsid wsp:val=&quot;00953D13&quot;/&gt;&lt;wsp:rsid wsp:val=&quot;0095450D&quot;/&gt;&lt;wsp:rsid wsp:val=&quot;009550A6&quot;/&gt;&lt;wsp:rsid wsp:val=&quot;00956272&quot;/&gt;&lt;wsp:rsid wsp:val=&quot;0096595A&quot;/&gt;&lt;wsp:rsid wsp:val=&quot;00967304&quot;/&gt;&lt;wsp:rsid wsp:val=&quot;00970887&quot;/&gt;&lt;wsp:rsid wsp:val=&quot;009715BA&quot;/&gt;&lt;wsp:rsid wsp:val=&quot;00972099&quot;/&gt;&lt;wsp:rsid wsp:val=&quot;0097737F&quot;/&gt;&lt;wsp:rsid wsp:val=&quot;0098085A&quot;/&gt;&lt;wsp:rsid wsp:val=&quot;00982905&quot;/&gt;&lt;wsp:rsid wsp:val=&quot;00982E28&quot;/&gt;&lt;wsp:rsid wsp:val=&quot;0098650F&quot;/&gt;&lt;wsp:rsid wsp:val=&quot;00991B57&quot;/&gt;&lt;wsp:rsid wsp:val=&quot;009A0EE3&quot;/&gt;&lt;wsp:rsid wsp:val=&quot;009A2193&quot;/&gt;&lt;wsp:rsid wsp:val=&quot;009A23BA&quot;/&gt;&lt;wsp:rsid wsp:val=&quot;009A4E64&quot;/&gt;&lt;wsp:rsid wsp:val=&quot;009A6237&quot;/&gt;&lt;wsp:rsid wsp:val=&quot;009A7634&quot;/&gt;&lt;wsp:rsid wsp:val=&quot;009B1BD1&quot;/&gt;&lt;wsp:rsid wsp:val=&quot;009B2A4D&quot;/&gt;&lt;wsp:rsid wsp:val=&quot;009B5661&quot;/&gt;&lt;wsp:rsid wsp:val=&quot;009B568A&quot;/&gt;&lt;wsp:rsid wsp:val=&quot;009B67D9&quot;/&gt;&lt;wsp:rsid wsp:val=&quot;009C0F42&quot;/&gt;&lt;wsp:rsid wsp:val=&quot;009C3060&quot;/&gt;&lt;wsp:rsid wsp:val=&quot;009C4827&quot;/&gt;&lt;wsp:rsid wsp:val=&quot;009C5992&quot;/&gt;&lt;wsp:rsid wsp:val=&quot;009C798D&quot;/&gt;&lt;wsp:rsid wsp:val=&quot;009C79E1&quot;/&gt;&lt;wsp:rsid wsp:val=&quot;009D1CD6&quot;/&gt;&lt;wsp:rsid wsp:val=&quot;009E2F04&quot;/&gt;&lt;wsp:rsid wsp:val=&quot;009E71F9&quot;/&gt;&lt;wsp:rsid wsp:val=&quot;009F34C1&quot;/&gt;&lt;wsp:rsid wsp:val=&quot;00A07A84&quot;/&gt;&lt;wsp:rsid wsp:val=&quot;00A12A1D&quot;/&gt;&lt;wsp:rsid wsp:val=&quot;00A13F78&quot;/&gt;&lt;wsp:rsid wsp:val=&quot;00A15635&quot;/&gt;&lt;wsp:rsid wsp:val=&quot;00A17C28&quot;/&gt;&lt;wsp:rsid wsp:val=&quot;00A20602&quot;/&gt;&lt;wsp:rsid wsp:val=&quot;00A247B6&quot;/&gt;&lt;wsp:rsid wsp:val=&quot;00A25D9C&quot;/&gt;&lt;wsp:rsid wsp:val=&quot;00A31138&quot;/&gt;&lt;wsp:rsid wsp:val=&quot;00A36D8C&quot;/&gt;&lt;wsp:rsid wsp:val=&quot;00A41E48&quot;/&gt;&lt;wsp:rsid wsp:val=&quot;00A53453&quot;/&gt;&lt;wsp:rsid wsp:val=&quot;00A550FD&quot;/&gt;&lt;wsp:rsid wsp:val=&quot;00A57D3A&quot;/&gt;&lt;wsp:rsid wsp:val=&quot;00A6000E&quot;/&gt;&lt;wsp:rsid wsp:val=&quot;00A60C74&quot;/&gt;&lt;wsp:rsid wsp:val=&quot;00A61AE3&quot;/&gt;&lt;wsp:rsid wsp:val=&quot;00A71292&quot;/&gt;&lt;wsp:rsid wsp:val=&quot;00A723E2&quot;/&gt;&lt;wsp:rsid wsp:val=&quot;00A72491&quot;/&gt;&lt;wsp:rsid wsp:val=&quot;00A75D85&quot;/&gt;&lt;wsp:rsid wsp:val=&quot;00A766FC&quot;/&gt;&lt;wsp:rsid wsp:val=&quot;00A77B57&quot;/&gt;&lt;wsp:rsid wsp:val=&quot;00A83A0F&quot;/&gt;&lt;wsp:rsid wsp:val=&quot;00A864F0&quot;/&gt;&lt;wsp:rsid wsp:val=&quot;00A90F49&quot;/&gt;&lt;wsp:rsid wsp:val=&quot;00A947EC&quot;/&gt;&lt;wsp:rsid wsp:val=&quot;00A9494B&quot;/&gt;&lt;wsp:rsid wsp:val=&quot;00A97758&quot;/&gt;&lt;wsp:rsid wsp:val=&quot;00AA355B&quot;/&gt;&lt;wsp:rsid wsp:val=&quot;00AA6949&quot;/&gt;&lt;wsp:rsid wsp:val=&quot;00AB13CA&quot;/&gt;&lt;wsp:rsid wsp:val=&quot;00AB5E6E&quot;/&gt;&lt;wsp:rsid wsp:val=&quot;00AB64B6&quot;/&gt;&lt;wsp:rsid wsp:val=&quot;00AB6F9E&quot;/&gt;&lt;wsp:rsid wsp:val=&quot;00AC5FE2&quot;/&gt;&lt;wsp:rsid wsp:val=&quot;00AD1E91&quot;/&gt;&lt;wsp:rsid wsp:val=&quot;00AD2638&quot;/&gt;&lt;wsp:rsid wsp:val=&quot;00AE0A42&quot;/&gt;&lt;wsp:rsid wsp:val=&quot;00AE1C6D&quot;/&gt;&lt;wsp:rsid wsp:val=&quot;00AE2692&quot;/&gt;&lt;wsp:rsid wsp:val=&quot;00AE2EBE&quot;/&gt;&lt;wsp:rsid wsp:val=&quot;00AE344C&quot;/&gt;&lt;wsp:rsid wsp:val=&quot;00AE730F&quot;/&gt;&lt;wsp:rsid wsp:val=&quot;00AF0488&quot;/&gt;&lt;wsp:rsid wsp:val=&quot;00AF4D5A&quot;/&gt;&lt;wsp:rsid wsp:val=&quot;00B01079&quot;/&gt;&lt;wsp:rsid wsp:val=&quot;00B02745&quot;/&gt;&lt;wsp:rsid wsp:val=&quot;00B035A7&quot;/&gt;&lt;wsp:rsid wsp:val=&quot;00B055B6&quot;/&gt;&lt;wsp:rsid wsp:val=&quot;00B0641F&quot;/&gt;&lt;wsp:rsid wsp:val=&quot;00B163AD&quot;/&gt;&lt;wsp:rsid wsp:val=&quot;00B35511&quot;/&gt;&lt;wsp:rsid wsp:val=&quot;00B4245C&quot;/&gt;&lt;wsp:rsid wsp:val=&quot;00B4636F&quot;/&gt;&lt;wsp:rsid wsp:val=&quot;00B50B08&quot;/&gt;&lt;wsp:rsid wsp:val=&quot;00B53A9E&quot;/&gt;&lt;wsp:rsid wsp:val=&quot;00B54339&quot;/&gt;&lt;wsp:rsid wsp:val=&quot;00B55A42&quot;/&gt;&lt;wsp:rsid wsp:val=&quot;00B55B5E&quot;/&gt;&lt;wsp:rsid wsp:val=&quot;00B626B3&quot;/&gt;&lt;wsp:rsid wsp:val=&quot;00B628D0&quot;/&gt;&lt;wsp:rsid wsp:val=&quot;00B65FA4&quot;/&gt;&lt;wsp:rsid wsp:val=&quot;00B70BB2&quot;/&gt;&lt;wsp:rsid wsp:val=&quot;00B71893&quot;/&gt;&lt;wsp:rsid wsp:val=&quot;00B7344B&quot;/&gt;&lt;wsp:rsid wsp:val=&quot;00B73AA7&quot;/&gt;&lt;wsp:rsid wsp:val=&quot;00B74F3E&quot;/&gt;&lt;wsp:rsid wsp:val=&quot;00B76945&quot;/&gt;&lt;wsp:rsid wsp:val=&quot;00B82EDA&quot;/&gt;&lt;wsp:rsid wsp:val=&quot;00B83599&quot;/&gt;&lt;wsp:rsid wsp:val=&quot;00B839FB&quot;/&gt;&lt;wsp:rsid wsp:val=&quot;00B848F4&quot;/&gt;&lt;wsp:rsid wsp:val=&quot;00B91901&quot;/&gt;&lt;wsp:rsid wsp:val=&quot;00B93E16&quot;/&gt;&lt;wsp:rsid wsp:val=&quot;00B93E73&quot;/&gt;&lt;wsp:rsid wsp:val=&quot;00BA1288&quot;/&gt;&lt;wsp:rsid wsp:val=&quot;00BA4026&quot;/&gt;&lt;wsp:rsid wsp:val=&quot;00BA41AA&quot;/&gt;&lt;wsp:rsid wsp:val=&quot;00BA51EE&quot;/&gt;&lt;wsp:rsid wsp:val=&quot;00BA70D4&quot;/&gt;&lt;wsp:rsid wsp:val=&quot;00BB1BFE&quot;/&gt;&lt;wsp:rsid wsp:val=&quot;00BB474A&quot;/&gt;&lt;wsp:rsid wsp:val=&quot;00BC0E31&quot;/&gt;&lt;wsp:rsid wsp:val=&quot;00BC3F8A&quot;/&gt;&lt;wsp:rsid wsp:val=&quot;00BC6430&quot;/&gt;&lt;wsp:rsid wsp:val=&quot;00BC66E2&quot;/&gt;&lt;wsp:rsid wsp:val=&quot;00BD156F&quot;/&gt;&lt;wsp:rsid wsp:val=&quot;00BE4D84&quot;/&gt;&lt;wsp:rsid wsp:val=&quot;00BE5C0C&quot;/&gt;&lt;wsp:rsid wsp:val=&quot;00BE7443&quot;/&gt;&lt;wsp:rsid wsp:val=&quot;00BF2A22&quot;/&gt;&lt;wsp:rsid wsp:val=&quot;00BF58FC&quot;/&gt;&lt;wsp:rsid wsp:val=&quot;00C01D73&quot;/&gt;&lt;wsp:rsid wsp:val=&quot;00C02ED6&quot;/&gt;&lt;wsp:rsid wsp:val=&quot;00C11E90&quot;/&gt;&lt;wsp:rsid wsp:val=&quot;00C13D4E&quot;/&gt;&lt;wsp:rsid wsp:val=&quot;00C1590D&quot;/&gt;&lt;wsp:rsid wsp:val=&quot;00C2337D&quot;/&gt;&lt;wsp:rsid wsp:val=&quot;00C306A4&quot;/&gt;&lt;wsp:rsid wsp:val=&quot;00C30998&quot;/&gt;&lt;wsp:rsid wsp:val=&quot;00C30B7B&quot;/&gt;&lt;wsp:rsid wsp:val=&quot;00C325D7&quot;/&gt;&lt;wsp:rsid wsp:val=&quot;00C37561&quot;/&gt;&lt;wsp:rsid wsp:val=&quot;00C4024D&quot;/&gt;&lt;wsp:rsid wsp:val=&quot;00C40F0A&quot;/&gt;&lt;wsp:rsid wsp:val=&quot;00C43F7D&quot;/&gt;&lt;wsp:rsid wsp:val=&quot;00C44277&quot;/&gt;&lt;wsp:rsid wsp:val=&quot;00C464B3&quot;/&gt;&lt;wsp:rsid wsp:val=&quot;00C55411&quot;/&gt;&lt;wsp:rsid wsp:val=&quot;00C56000&quot;/&gt;&lt;wsp:rsid wsp:val=&quot;00C56C82&quot;/&gt;&lt;wsp:rsid wsp:val=&quot;00C60369&quot;/&gt;&lt;wsp:rsid wsp:val=&quot;00C632A0&quot;/&gt;&lt;wsp:rsid wsp:val=&quot;00C64849&quot;/&gt;&lt;wsp:rsid wsp:val=&quot;00C7120E&quot;/&gt;&lt;wsp:rsid wsp:val=&quot;00C7151C&quot;/&gt;&lt;wsp:rsid wsp:val=&quot;00C773C2&quot;/&gt;&lt;wsp:rsid wsp:val=&quot;00C80225&quot;/&gt;&lt;wsp:rsid wsp:val=&quot;00C81504&quot;/&gt;&lt;wsp:rsid wsp:val=&quot;00C83693&quot;/&gt;&lt;wsp:rsid wsp:val=&quot;00C83CA2&quot;/&gt;&lt;wsp:rsid wsp:val=&quot;00C8605D&quot;/&gt;&lt;wsp:rsid wsp:val=&quot;00C869C3&quot;/&gt;&lt;wsp:rsid wsp:val=&quot;00C87064&quot;/&gt;&lt;wsp:rsid wsp:val=&quot;00C87BA0&quot;/&gt;&lt;wsp:rsid wsp:val=&quot;00C901CF&quot;/&gt;&lt;wsp:rsid wsp:val=&quot;00C91576&quot;/&gt;&lt;wsp:rsid wsp:val=&quot;00C93C20&quot;/&gt;&lt;wsp:rsid wsp:val=&quot;00C94581&quot;/&gt;&lt;wsp:rsid wsp:val=&quot;00C96493&quot;/&gt;&lt;wsp:rsid wsp:val=&quot;00CA3078&quot;/&gt;&lt;wsp:rsid wsp:val=&quot;00CA3DA3&quot;/&gt;&lt;wsp:rsid wsp:val=&quot;00CA4BF2&quot;/&gt;&lt;wsp:rsid wsp:val=&quot;00CA6137&quot;/&gt;&lt;wsp:rsid wsp:val=&quot;00CB4628&quot;/&gt;&lt;wsp:rsid wsp:val=&quot;00CC2FE0&quot;/&gt;&lt;wsp:rsid wsp:val=&quot;00CC77D9&quot;/&gt;&lt;wsp:rsid wsp:val=&quot;00CD2F1F&quot;/&gt;&lt;wsp:rsid wsp:val=&quot;00CD3006&quot;/&gt;&lt;wsp:rsid wsp:val=&quot;00CD4C5E&quot;/&gt;&lt;wsp:rsid wsp:val=&quot;00CE161B&quot;/&gt;&lt;wsp:rsid wsp:val=&quot;00CE276B&quot;/&gt;&lt;wsp:rsid wsp:val=&quot;00CE4965&quot;/&gt;&lt;wsp:rsid wsp:val=&quot;00CE70F6&quot;/&gt;&lt;wsp:rsid wsp:val=&quot;00CE7EE9&quot;/&gt;&lt;wsp:rsid wsp:val=&quot;00CF4FAF&quot;/&gt;&lt;wsp:rsid wsp:val=&quot;00CF66D8&quot;/&gt;&lt;wsp:rsid wsp:val=&quot;00D00AFC&quot;/&gt;&lt;wsp:rsid wsp:val=&quot;00D00DF2&quot;/&gt;&lt;wsp:rsid wsp:val=&quot;00D04729&quot;/&gt;&lt;wsp:rsid wsp:val=&quot;00D04CA0&quot;/&gt;&lt;wsp:rsid wsp:val=&quot;00D07CFD&quot;/&gt;&lt;wsp:rsid wsp:val=&quot;00D133A2&quot;/&gt;&lt;wsp:rsid wsp:val=&quot;00D13CEE&quot;/&gt;&lt;wsp:rsid wsp:val=&quot;00D17C23&quot;/&gt;&lt;wsp:rsid wsp:val=&quot;00D17E46&quot;/&gt;&lt;wsp:rsid wsp:val=&quot;00D218C5&quot;/&gt;&lt;wsp:rsid wsp:val=&quot;00D21AE1&quot;/&gt;&lt;wsp:rsid wsp:val=&quot;00D23DBA&quot;/&gt;&lt;wsp:rsid wsp:val=&quot;00D270C8&quot;/&gt;&lt;wsp:rsid wsp:val=&quot;00D322F9&quot;/&gt;&lt;wsp:rsid wsp:val=&quot;00D36B45&quot;/&gt;&lt;wsp:rsid wsp:val=&quot;00D41B93&quot;/&gt;&lt;wsp:rsid wsp:val=&quot;00D42A9D&quot;/&gt;&lt;wsp:rsid wsp:val=&quot;00D44433&quot;/&gt;&lt;wsp:rsid wsp:val=&quot;00D47F62&quot;/&gt;&lt;wsp:rsid wsp:val=&quot;00D56A5E&quot;/&gt;&lt;wsp:rsid wsp:val=&quot;00D57CCC&quot;/&gt;&lt;wsp:rsid wsp:val=&quot;00D639E1&quot;/&gt;&lt;wsp:rsid wsp:val=&quot;00D6724C&quot;/&gt;&lt;wsp:rsid wsp:val=&quot;00D6783F&quot;/&gt;&lt;wsp:rsid wsp:val=&quot;00D70C2D&quot;/&gt;&lt;wsp:rsid wsp:val=&quot;00D70F35&quot;/&gt;&lt;wsp:rsid wsp:val=&quot;00D734CB&quot;/&gt;&lt;wsp:rsid wsp:val=&quot;00D7696A&quot;/&gt;&lt;wsp:rsid wsp:val=&quot;00D77AEB&quot;/&gt;&lt;wsp:rsid wsp:val=&quot;00D80854&quot;/&gt;&lt;wsp:rsid wsp:val=&quot;00D87DAC&quot;/&gt;&lt;wsp:rsid wsp:val=&quot;00D918D2&quot;/&gt;&lt;wsp:rsid wsp:val=&quot;00D91E6C&quot;/&gt;&lt;wsp:rsid wsp:val=&quot;00D95336&quot;/&gt;&lt;wsp:rsid wsp:val=&quot;00D95599&quot;/&gt;&lt;wsp:rsid wsp:val=&quot;00D967AF&quot;/&gt;&lt;wsp:rsid wsp:val=&quot;00D9707A&quot;/&gt;&lt;wsp:rsid wsp:val=&quot;00D9748C&quot;/&gt;&lt;wsp:rsid wsp:val=&quot;00D97FD9&quot;/&gt;&lt;wsp:rsid wsp:val=&quot;00DA57CB&quot;/&gt;&lt;wsp:rsid wsp:val=&quot;00DA7BAF&quot;/&gt;&lt;wsp:rsid wsp:val=&quot;00DB26C1&quot;/&gt;&lt;wsp:rsid wsp:val=&quot;00DB75E4&quot;/&gt;&lt;wsp:rsid wsp:val=&quot;00DB77F2&quot;/&gt;&lt;wsp:rsid wsp:val=&quot;00DC24F9&quot;/&gt;&lt;wsp:rsid wsp:val=&quot;00DC33A8&quot;/&gt;&lt;wsp:rsid wsp:val=&quot;00DC36C2&quot;/&gt;&lt;wsp:rsid wsp:val=&quot;00DC4297&quot;/&gt;&lt;wsp:rsid wsp:val=&quot;00DC4F9C&quot;/&gt;&lt;wsp:rsid wsp:val=&quot;00DC502B&quot;/&gt;&lt;wsp:rsid wsp:val=&quot;00DC5394&quot;/&gt;&lt;wsp:rsid wsp:val=&quot;00DC556C&quot;/&gt;&lt;wsp:rsid wsp:val=&quot;00DD106C&quot;/&gt;&lt;wsp:rsid wsp:val=&quot;00DD1DB2&quot;/&gt;&lt;wsp:rsid wsp:val=&quot;00DE1001&quot;/&gt;&lt;wsp:rsid wsp:val=&quot;00DE1769&quot;/&gt;&lt;wsp:rsid wsp:val=&quot;00DE1E25&quot;/&gt;&lt;wsp:rsid wsp:val=&quot;00DE479C&quot;/&gt;&lt;wsp:rsid wsp:val=&quot;00DF6CB1&quot;/&gt;&lt;wsp:rsid wsp:val=&quot;00E0077A&quot;/&gt;&lt;wsp:rsid wsp:val=&quot;00E105A7&quot;/&gt;&lt;wsp:rsid wsp:val=&quot;00E13446&quot;/&gt;&lt;wsp:rsid wsp:val=&quot;00E141AB&quot;/&gt;&lt;wsp:rsid wsp:val=&quot;00E15C0B&quot;/&gt;&lt;wsp:rsid wsp:val=&quot;00E160AE&quot;/&gt;&lt;wsp:rsid wsp:val=&quot;00E20B8E&quot;/&gt;&lt;wsp:rsid wsp:val=&quot;00E35FA2&quot;/&gt;&lt;wsp:rsid wsp:val=&quot;00E37961&quot;/&gt;&lt;wsp:rsid wsp:val=&quot;00E42157&quot;/&gt;&lt;wsp:rsid wsp:val=&quot;00E42C0D&quot;/&gt;&lt;wsp:rsid wsp:val=&quot;00E53AD2&quot;/&gt;&lt;wsp:rsid wsp:val=&quot;00E547F7&quot;/&gt;&lt;wsp:rsid wsp:val=&quot;00E57DEA&quot;/&gt;&lt;wsp:rsid wsp:val=&quot;00E61231&quot;/&gt;&lt;wsp:rsid wsp:val=&quot;00E64F79&quot;/&gt;&lt;wsp:rsid wsp:val=&quot;00E6756B&quot;/&gt;&lt;wsp:rsid wsp:val=&quot;00E758C1&quot;/&gt;&lt;wsp:rsid wsp:val=&quot;00E766A1&quot;/&gt;&lt;wsp:rsid wsp:val=&quot;00E76C2F&quot;/&gt;&lt;wsp:rsid wsp:val=&quot;00E81B64&quot;/&gt;&lt;wsp:rsid wsp:val=&quot;00E8469C&quot;/&gt;&lt;wsp:rsid wsp:val=&quot;00E86345&quot;/&gt;&lt;wsp:rsid wsp:val=&quot;00E86AAB&quot;/&gt;&lt;wsp:rsid wsp:val=&quot;00E87CE5&quot;/&gt;&lt;wsp:rsid wsp:val=&quot;00E910C0&quot;/&gt;&lt;wsp:rsid wsp:val=&quot;00E97A21&quot;/&gt;&lt;wsp:rsid wsp:val=&quot;00EA1A10&quot;/&gt;&lt;wsp:rsid wsp:val=&quot;00EA5046&quot;/&gt;&lt;wsp:rsid wsp:val=&quot;00EA5330&quot;/&gt;&lt;wsp:rsid wsp:val=&quot;00EC1F26&quot;/&gt;&lt;wsp:rsid wsp:val=&quot;00EC2C53&quot;/&gt;&lt;wsp:rsid wsp:val=&quot;00EC45E8&quot;/&gt;&lt;wsp:rsid wsp:val=&quot;00EC56FA&quot;/&gt;&lt;wsp:rsid wsp:val=&quot;00ED193C&quot;/&gt;&lt;wsp:rsid wsp:val=&quot;00EE1C5D&quot;/&gt;&lt;wsp:rsid wsp:val=&quot;00EE35F7&quot;/&gt;&lt;wsp:rsid wsp:val=&quot;00EE6697&quot;/&gt;&lt;wsp:rsid wsp:val=&quot;00EF0D47&quot;/&gt;&lt;wsp:rsid wsp:val=&quot;00EF0F99&quot;/&gt;&lt;wsp:rsid wsp:val=&quot;00EF1839&quot;/&gt;&lt;wsp:rsid wsp:val=&quot;00EF25C0&quot;/&gt;&lt;wsp:rsid wsp:val=&quot;00EF2F90&quot;/&gt;&lt;wsp:rsid wsp:val=&quot;00EF4ACF&quot;/&gt;&lt;wsp:rsid wsp:val=&quot;00F0729F&quot;/&gt;&lt;wsp:rsid wsp:val=&quot;00F113BC&quot;/&gt;&lt;wsp:rsid wsp:val=&quot;00F1272D&quot;/&gt;&lt;wsp:rsid wsp:val=&quot;00F14354&quot;/&gt;&lt;wsp:rsid wsp:val=&quot;00F14C6D&quot;/&gt;&lt;wsp:rsid wsp:val=&quot;00F22CAE&quot;/&gt;&lt;wsp:rsid wsp:val=&quot;00F24710&quot;/&gt;&lt;wsp:rsid wsp:val=&quot;00F310F2&quot;/&gt;&lt;wsp:rsid wsp:val=&quot;00F32078&quot;/&gt;&lt;wsp:rsid wsp:val=&quot;00F41981&quot;/&gt;&lt;wsp:rsid wsp:val=&quot;00F42D30&quot;/&gt;&lt;wsp:rsid wsp:val=&quot;00F4580A&quot;/&gt;&lt;wsp:rsid wsp:val=&quot;00F611C3&quot;/&gt;&lt;wsp:rsid wsp:val=&quot;00F662A3&quot;/&gt;&lt;wsp:rsid wsp:val=&quot;00F67C8E&quot;/&gt;&lt;wsp:rsid wsp:val=&quot;00F70F83&quot;/&gt;&lt;wsp:rsid wsp:val=&quot;00F73FFE&quot;/&gt;&lt;wsp:rsid wsp:val=&quot;00F75E6D&quot;/&gt;&lt;wsp:rsid wsp:val=&quot;00F83785&quot;/&gt;&lt;wsp:rsid wsp:val=&quot;00F87B30&quot;/&gt;&lt;wsp:rsid wsp:val=&quot;00F90268&quot;/&gt;&lt;wsp:rsid wsp:val=&quot;00F91038&quot;/&gt;&lt;wsp:rsid wsp:val=&quot;00F94C74&quot;/&gt;&lt;wsp:rsid wsp:val=&quot;00F975E3&quot;/&gt;&lt;wsp:rsid wsp:val=&quot;00FB02B0&quot;/&gt;&lt;wsp:rsid wsp:val=&quot;00FB06B4&quot;/&gt;&lt;wsp:rsid wsp:val=&quot;00FB2474&quot;/&gt;&lt;wsp:rsid wsp:val=&quot;00FB3AEE&quot;/&gt;&lt;wsp:rsid wsp:val=&quot;00FC0B1A&quot;/&gt;&lt;wsp:rsid wsp:val=&quot;00FC469B&quot;/&gt;&lt;wsp:rsid wsp:val=&quot;00FC5AA7&quot;/&gt;&lt;wsp:rsid wsp:val=&quot;00FC62FC&quot;/&gt;&lt;wsp:rsid wsp:val=&quot;00FE001F&quot;/&gt;&lt;wsp:rsid wsp:val=&quot;00FE0A87&quot;/&gt;&lt;wsp:rsid wsp:val=&quot;00FE0AC9&quot;/&gt;&lt;wsp:rsid wsp:val=&quot;00FE41B1&quot;/&gt;&lt;wsp:rsid wsp:val=&quot;00FE4EA0&quot;/&gt;&lt;wsp:rsid wsp:val=&quot;00FE5DA8&quot;/&gt;&lt;wsp:rsid wsp:val=&quot;00FE5FC7&quot;/&gt;&lt;wsp:rsid wsp:val=&quot;00FE7787&quot;/&gt;&lt;wsp:rsid wsp:val=&quot;00FF1EA0&quot;/&gt;&lt;wsp:rsid wsp:val=&quot;00FF4A90&quot;/&gt;&lt;wsp:rsid wsp:val=&quot;00FF5565&quot;/&gt;&lt;wsp:rsid wsp:val=&quot;00FF5748&quot;/&gt;&lt;wsp:rsid wsp:val=&quot;0473295E&quot;/&gt;&lt;wsp:rsid wsp:val=&quot;04986DFD&quot;/&gt;&lt;wsp:rsid wsp:val=&quot;06BE37E8&quot;/&gt;&lt;wsp:rsid wsp:val=&quot;06EF71BB&quot;/&gt;&lt;wsp:rsid wsp:val=&quot;073F3271&quot;/&gt;&lt;wsp:rsid wsp:val=&quot;0867295F&quot;/&gt;&lt;wsp:rsid wsp:val=&quot;0F364859&quot;/&gt;&lt;wsp:rsid wsp:val=&quot;12E41248&quot;/&gt;&lt;wsp:rsid wsp:val=&quot;16C52C78&quot;/&gt;&lt;wsp:rsid wsp:val=&quot;19C071D8&quot;/&gt;&lt;wsp:rsid wsp:val=&quot;2053311E&quot;/&gt;&lt;wsp:rsid wsp:val=&quot;20BF36A8&quot;/&gt;&lt;wsp:rsid wsp:val=&quot;2203702B&quot;/&gt;&lt;wsp:rsid wsp:val=&quot;25EB3C37&quot;/&gt;&lt;wsp:rsid wsp:val=&quot;2D0A43BB&quot;/&gt;&lt;wsp:rsid wsp:val=&quot;2FDD5020&quot;/&gt;&lt;wsp:rsid wsp:val=&quot;388A772D&quot;/&gt;&lt;wsp:rsid wsp:val=&quot;3915707E&quot;/&gt;&lt;wsp:rsid wsp:val=&quot;396750EC&quot;/&gt;&lt;wsp:rsid wsp:val=&quot;3BF255E8&quot;/&gt;&lt;wsp:rsid wsp:val=&quot;3C2036D5&quot;/&gt;&lt;wsp:rsid wsp:val=&quot;3CDB285C&quot;/&gt;&lt;wsp:rsid wsp:val=&quot;40A70CE6&quot;/&gt;&lt;wsp:rsid wsp:val=&quot;44E64F90&quot;/&gt;&lt;wsp:rsid wsp:val=&quot;48AB4BEA&quot;/&gt;&lt;wsp:rsid wsp:val=&quot;4A0D2402&quot;/&gt;&lt;wsp:rsid wsp:val=&quot;4D3669F2&quot;/&gt;&lt;wsp:rsid wsp:val=&quot;504363EF&quot;/&gt;&lt;wsp:rsid wsp:val=&quot;515E432B&quot;/&gt;&lt;wsp:rsid wsp:val=&quot;519B5BB9&quot;/&gt;&lt;wsp:rsid wsp:val=&quot;55821135&quot;/&gt;&lt;wsp:rsid wsp:val=&quot;56501CA7&quot;/&gt;&lt;wsp:rsid wsp:val=&quot;5665551B&quot;/&gt;&lt;wsp:rsid wsp:val=&quot;576D6C39&quot;/&gt;&lt;wsp:rsid wsp:val=&quot;588C018E&quot;/&gt;&lt;wsp:rsid wsp:val=&quot;5C1F7FE7&quot;/&gt;&lt;wsp:rsid wsp:val=&quot;5E3B3CB8&quot;/&gt;&lt;wsp:rsid wsp:val=&quot;5F853FB1&quot;/&gt;&lt;wsp:rsid wsp:val=&quot;606E0C9E&quot;/&gt;&lt;wsp:rsid wsp:val=&quot;61643B81&quot;/&gt;&lt;wsp:rsid wsp:val=&quot;66E70B21&quot;/&gt;&lt;wsp:rsid wsp:val=&quot;6A326B16&quot;/&gt;&lt;wsp:rsid wsp:val=&quot;6AC13071&quot;/&gt;&lt;wsp:rsid wsp:val=&quot;6AD47284&quot;/&gt;&lt;wsp:rsid wsp:val=&quot;6BFB1A7A&quot;/&gt;&lt;wsp:rsid wsp:val=&quot;6D4E5448&quot;/&gt;&lt;wsp:rsid wsp:val=&quot;70117CE3&quot;/&gt;&lt;wsp:rsid wsp:val=&quot;74AB1322&quot;/&gt;&lt;wsp:rsid wsp:val=&quot;768D1774&quot;/&gt;&lt;wsp:rsid wsp:val=&quot;780D70BC&quot;/&gt;&lt;wsp:rsid wsp:val=&quot;7ADD18DC&quot;/&gt;&lt;wsp:rsid wsp:val=&quot;7D840A0C&quot;/&gt;&lt;wsp:rsid wsp:val=&quot;7E264278&quot;/&gt;&lt;/wsp:rsids&gt;&lt;/w:docPr&gt;&lt;w:body&gt;&lt;wx:sect&gt;&lt;w:p wsp:rsidR=&quot;00000000&quot; wsp:rsidRDefault=&quot;000D56EE&quot; wsp:rsidP=&quot;000D56EE&quot;&gt;&lt;m:oMathPara&gt;&lt;m:oMath&gt;&lt;m:sSub&gt;&lt;m:sSubPr&gt;&lt;m:ctrlPr&gt;&lt;aml:annotation aml:id=&quot;0&quot; w:type=&quot;Word.Insertion&quot; aml:author=&quot;_?楠? aml:create=date=&quot;2020-0&gt;8-18T13:28:0&gt;&gt;&gt;&gt;&gt;0Z&quot;&gt;&lt;aoml:conwtentd&gt;y&gt;&gt;&lt;ww&lt;w&lt;w&lt;w&lt;w&lt;w&lt;w&lt;w&lt;w&lt;w&lt;w&lt;w&lt;w&lt;w&lt;w&lt;w&lt;w&lt;w&lt;w&lt;w&lt;w&lt;w&lt;w&lt;w&lt;w&lt;w&lt;w&lt;w&lt;w&lt;w&lt;w&lt;w&lt;w&lt;w&lt;w&lt;w&lt;w&lt;w&lt;w&lt;w&lt;w&lt;w&lt;w&lt;w&lt;w&lt;w&lt;w&lt;w&lt;w&lt;w&lt;w&lt;w&lt;w&lt;w&lt;w&lt;w&lt;w&lt;w&lt;w&lt;w&lt;w&lt;w&lt;w&lt;w&lt;w&lt;w&lt;w&lt;w&lt;w&lt;w&lt;w&lt;w&lt;w&lt;w&lt;w&lt;wy&lt;w&lt;w&lt;w&lt;w&lt;w&lt;w&lt;w&lt;w&lt;w&lt;w&lt;w&lt;w:&lt;w&lt;w&lt;w&lt;w&lt;w&lt;w&lt;w&lt;w&lt;w&lt;w&lt;w&lt;w&lt;w&lt;w&lt;w&lt;w&lt;w:rPr&gt;&lt;w:rFonts w:ascii=&quot;Cambria Math&quot; w:h-ansi=&quot;Cambria Math&quot;/&gt;&lt;wx:font wx:val=&quot;Cambria Math&quot;/&gt;&lt;w:i/&gt;&lt;/w:rPr&gt;&lt;/aml:content&gt;&lt;/aml:annotation&gt;&lt;/m:ctrlPr&gt;&lt;/m:sSubPr&gt;&lt;m:e&gt;&lt;m:r&gt;&lt;aml:annotation aml:id=&quot;1&quot; w:type=&quot;Word.Insertion&quot; aml:author=&quot;_w??w?&lt;w a&lt;wml&lt;w:c&lt;wre&lt;wat&lt;wy&gt;&lt;wedate=&quot;2020-08-18T13:28:00Z&quot;&gt;&lt;aml:=coCntmenrt&gt;a&lt;wM:rtPr&quot;&gt;&lt;&gt;w:wrF:onotst ww:a:scaii==&quot;CCammbrriaa MMatth&quot;&quot; &gt;w:wh-ian&gt;si/=&quot;:CaPmb&gt;ri/a mMa:tho&quot;/t&gt;&lt;nwx&gt;:f/onmt :wxn:voala=&quot;iCanmb&lt;rima cMarthP&quot;/&gt;&gt;&lt;/w::i/S&gt;&lt;b/wr:r&lt;Pr:&gt;&lt;&gt;m:mt&gt;rCT&lt;Y&lt;m/m::tn&gt;&lt;o/aamli:cnonatelnti&gt;&lt;=/a1ml :a:nnyoteat&quot;ioon&gt;d&lt;/Im:sr&gt;r&lt;/im:ne&gt; &lt;mm:s:ubu&gt;&lt;hm:rr&gt;&quot;&lt;aml:wannotation aml:id=&quot;2&quot; w:type=&quot;Word.Insertion&quot; aml:author=&quot;_&gt;?楠i/? a mml:a:crehoate/tdat&lt;ne=&quot;x&gt;202f/0-0nm8-1 :8T1xn3a:2vo8:0la0Z&quot;&quot;i&gt;&lt;aanml:b&lt;c&lt;onimten ct&gt;&lt;arw:rhPPr&gt;/&gt;&lt;&gt;w:&lt;/rFo::nts/nS w:&lt;bascwrii1=mrl&lt; &quot;:Car:mbrt&lt;&gt;ia :moMat&gt;r/h&quot; :T&lt;w&gt;&gt;r:h&lt;/im-a:nnm:&gt; si=mmtn&quot;s:Ca&lt;buomb&lt;hraa:ria &gt;&quot;liMamatc:wnh&quot;nn nataw:hioeli anttl:i=&quot;d=f&lt;=2&quot;arew:a1aypstl=&quot; &quot;/or&gt;a:.I&lt;wxseny:tifotn&quot;entam t&quot;:awx:thoovr=al&gt;d&gt;=&quot;C/Iamb:sria&gt;r Ma/ith&quot;:n/&gt;&lt;&gt; w:imm/&gt;&lt;s:/w:burPr&lt;h&gt;&lt;m:r:t&gt;&gt;&quot;k&lt;/amm:t:w&gt;&lt;/anoml:ctionte ant&gt;&lt;:i/aml&quot;2:annw:ottype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5" o:title="" chromakey="white"/>
          </v:shape>
        </w:pict>
      </w:r>
      <w:r>
        <w:rPr>
          <w:rFonts w:ascii="仿宋_GB2312" w:eastAsia="仿宋_GB2312"/>
          <w:sz w:val="30"/>
          <w:szCs w:val="30"/>
        </w:rPr>
        <w:instrText xml:space="preserve"> </w:instrText>
      </w:r>
      <w:r>
        <w:rPr>
          <w:rFonts w:ascii="仿宋_GB2312" w:eastAsia="仿宋_GB2312"/>
          <w:sz w:val="30"/>
          <w:szCs w:val="30"/>
        </w:rPr>
        <w:fldChar w:fldCharType="end"/>
      </w:r>
      <w:r>
        <w:rPr>
          <w:rFonts w:ascii="仿宋_GB2312" w:eastAsia="仿宋_GB2312" w:hint="eastAsia"/>
          <w:sz w:val="30"/>
          <w:szCs w:val="30"/>
        </w:rPr>
        <w:t>是商品</w:t>
      </w:r>
      <w:r>
        <w:rPr>
          <w:rFonts w:ascii="仿宋_GB2312" w:eastAsia="仿宋_GB2312" w:hint="eastAsia"/>
          <w:sz w:val="30"/>
          <w:szCs w:val="30"/>
        </w:rPr>
        <w:t>k</w:t>
      </w:r>
      <w:r>
        <w:rPr>
          <w:rFonts w:ascii="仿宋_GB2312" w:eastAsia="仿宋_GB2312" w:hint="eastAsia"/>
          <w:sz w:val="30"/>
          <w:szCs w:val="30"/>
        </w:rPr>
        <w:t>即期（或现</w:t>
      </w:r>
      <w:r>
        <w:rPr>
          <w:rFonts w:ascii="仿宋_GB2312" w:eastAsia="仿宋_GB2312" w:hint="eastAsia"/>
          <w:color w:val="000000" w:themeColor="text1"/>
          <w:sz w:val="30"/>
          <w:szCs w:val="30"/>
        </w:rPr>
        <w:t>货）价格。</w:t>
      </w:r>
    </w:p>
    <w:p w:rsidR="004165E8" w:rsidRDefault="00A108D9">
      <w:pPr>
        <w:widowControl/>
        <w:spacing w:line="480" w:lineRule="exact"/>
        <w:ind w:firstLineChars="200" w:firstLine="600"/>
        <w:rPr>
          <w:sz w:val="30"/>
          <w:szCs w:val="30"/>
        </w:rPr>
      </w:pPr>
      <w:proofErr w:type="gramStart"/>
      <w:r>
        <w:rPr>
          <w:rFonts w:ascii="仿宋_GB2312" w:eastAsia="仿宋_GB2312"/>
          <w:sz w:val="30"/>
          <w:szCs w:val="30"/>
        </w:rPr>
        <w:t>b.</w:t>
      </w:r>
      <w:proofErr w:type="gramEnd"/>
      <w:r>
        <w:rPr>
          <w:position w:val="-12"/>
          <w:sz w:val="30"/>
          <w:szCs w:val="30"/>
        </w:rPr>
        <w:object w:dxaOrig="240" w:dyaOrig="373">
          <v:shape id="_x0000_i1180" type="#_x0000_t75" style="width:12.1pt;height:18.55pt" o:ole="">
            <v:imagedata r:id="rId246" o:title=""/>
          </v:shape>
          <o:OLEObject Type="Embed" ProgID="Equation.DSMT4" ShapeID="_x0000_i1180" DrawAspect="Content" ObjectID="_1765373747" r:id="rId247"/>
        </w:object>
      </w:r>
      <w:r>
        <w:rPr>
          <w:rFonts w:ascii="仿宋_GB2312" w:eastAsia="仿宋_GB2312" w:hint="eastAsia"/>
          <w:sz w:val="30"/>
          <w:szCs w:val="30"/>
        </w:rPr>
        <w:t>是工具</w:t>
      </w:r>
      <w:r>
        <w:rPr>
          <w:rFonts w:ascii="仿宋_GB2312" w:eastAsia="仿宋_GB2312"/>
          <w:sz w:val="30"/>
          <w:szCs w:val="30"/>
        </w:rPr>
        <w:t>i</w:t>
      </w:r>
      <w:r>
        <w:rPr>
          <w:rFonts w:ascii="仿宋_GB2312" w:eastAsia="仿宋_GB2312" w:hint="eastAsia"/>
          <w:sz w:val="30"/>
          <w:szCs w:val="30"/>
        </w:rPr>
        <w:t>的市场价值，是商品</w:t>
      </w:r>
      <w:r>
        <w:rPr>
          <w:rFonts w:ascii="仿宋_GB2312" w:eastAsia="仿宋_GB2312" w:hint="eastAsia"/>
          <w:sz w:val="30"/>
          <w:szCs w:val="30"/>
        </w:rPr>
        <w:t>k</w:t>
      </w:r>
      <w:r>
        <w:rPr>
          <w:rFonts w:ascii="仿宋_GB2312" w:eastAsia="仿宋_GB2312" w:hint="eastAsia"/>
          <w:sz w:val="30"/>
          <w:szCs w:val="30"/>
        </w:rPr>
        <w:t>即期（或现货）价格的函数。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cs="仿宋_GB2312" w:hint="eastAsia"/>
          <w:color w:val="000000"/>
          <w:kern w:val="0"/>
          <w:sz w:val="30"/>
          <w:szCs w:val="30"/>
          <w:shd w:val="clear" w:color="auto" w:fill="FFFFFF"/>
          <w:lang w:bidi="ar"/>
        </w:rPr>
        <w:t>的计算公式详见</w:t>
      </w:r>
      <w:r>
        <w:rPr>
          <w:rFonts w:ascii="仿宋_GB2312" w:eastAsia="仿宋_GB2312" w:hint="eastAsia"/>
          <w:sz w:val="30"/>
          <w:szCs w:val="30"/>
        </w:rPr>
        <w:t>本附件第二部分（四）</w:t>
      </w:r>
      <w:r>
        <w:rPr>
          <w:rFonts w:ascii="仿宋_GB2312" w:eastAsia="仿宋_GB2312"/>
          <w:sz w:val="30"/>
          <w:szCs w:val="30"/>
        </w:rPr>
        <w:t>2</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cs="仿宋_GB2312" w:hint="eastAsia"/>
          <w:color w:val="000000"/>
          <w:kern w:val="0"/>
          <w:sz w:val="30"/>
          <w:szCs w:val="30"/>
          <w:shd w:val="clear" w:color="auto" w:fill="FFFFFF"/>
          <w:lang w:bidi="ar"/>
        </w:rPr>
        <w:t>曲度敏感度的计算详见本附件第二部分（二）。</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3</w:t>
      </w:r>
      <w:r>
        <w:rPr>
          <w:rFonts w:ascii="仿宋_GB2312" w:eastAsia="仿宋_GB2312" w:hAnsi="黑体" w:hint="eastAsia"/>
          <w:bCs/>
          <w:sz w:val="30"/>
          <w:szCs w:val="30"/>
        </w:rPr>
        <w:t>.</w:t>
      </w:r>
      <w:r>
        <w:rPr>
          <w:rFonts w:ascii="仿宋_GB2312" w:eastAsia="仿宋_GB2312" w:hAnsi="黑体"/>
          <w:bCs/>
          <w:sz w:val="30"/>
          <w:szCs w:val="30"/>
        </w:rPr>
        <w:t>风险组、风险权重、相关系数</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）商品风险组见表</w:t>
      </w:r>
      <w:r>
        <w:rPr>
          <w:rFonts w:ascii="仿宋_GB2312" w:eastAsia="仿宋_GB2312" w:cs="仿宋_GB2312" w:hint="eastAsia"/>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w:t>
      </w:r>
    </w:p>
    <w:p w:rsidR="004165E8" w:rsidRDefault="00A108D9">
      <w:pPr>
        <w:keepNext/>
        <w:widowControl/>
        <w:spacing w:line="480" w:lineRule="exact"/>
        <w:jc w:val="center"/>
        <w:rPr>
          <w:rFonts w:ascii="楷体_GB2312" w:eastAsia="楷体_GB2312"/>
          <w:b/>
          <w:sz w:val="28"/>
          <w:szCs w:val="28"/>
        </w:rPr>
      </w:pPr>
      <w:r>
        <w:rPr>
          <w:rFonts w:ascii="楷体_GB2312" w:eastAsia="楷体_GB2312" w:hint="eastAsia"/>
          <w:b/>
          <w:sz w:val="28"/>
          <w:szCs w:val="28"/>
        </w:rPr>
        <w:lastRenderedPageBreak/>
        <w:t>表</w:t>
      </w:r>
      <w:r>
        <w:rPr>
          <w:rFonts w:ascii="楷体_GB2312" w:eastAsia="楷体_GB2312" w:hint="eastAsia"/>
          <w:b/>
          <w:sz w:val="28"/>
          <w:szCs w:val="28"/>
        </w:rPr>
        <w:t>11</w:t>
      </w:r>
      <w:r>
        <w:rPr>
          <w:rFonts w:ascii="楷体_GB2312" w:eastAsia="楷体_GB2312"/>
          <w:b/>
          <w:sz w:val="28"/>
          <w:szCs w:val="28"/>
        </w:rPr>
        <w:t xml:space="preserve"> </w:t>
      </w:r>
      <w:r>
        <w:rPr>
          <w:rFonts w:ascii="楷体_GB2312" w:eastAsia="楷体_GB2312" w:hint="eastAsia"/>
          <w:b/>
          <w:sz w:val="28"/>
          <w:szCs w:val="28"/>
        </w:rPr>
        <w:t>商品风险组和</w:t>
      </w:r>
      <w:r>
        <w:rPr>
          <w:rFonts w:ascii="楷体_GB2312" w:eastAsia="楷体_GB2312" w:hint="eastAsia"/>
          <w:b/>
          <w:sz w:val="28"/>
          <w:szCs w:val="28"/>
          <w:lang w:bidi="ar"/>
        </w:rPr>
        <w:t>得尔塔敏感度的</w:t>
      </w:r>
      <w:r>
        <w:rPr>
          <w:rFonts w:ascii="楷体_GB2312" w:eastAsia="楷体_GB2312" w:hint="eastAsia"/>
          <w:b/>
          <w:sz w:val="28"/>
          <w:szCs w:val="28"/>
        </w:rPr>
        <w:t>风险权重</w:t>
      </w:r>
    </w:p>
    <w:tbl>
      <w:tblPr>
        <w:tblW w:w="8540" w:type="dxa"/>
        <w:tblLayout w:type="fixed"/>
        <w:tblLook w:val="04A0" w:firstRow="1" w:lastRow="0" w:firstColumn="1" w:lastColumn="0" w:noHBand="0" w:noVBand="1"/>
      </w:tblPr>
      <w:tblGrid>
        <w:gridCol w:w="981"/>
        <w:gridCol w:w="1736"/>
        <w:gridCol w:w="4636"/>
        <w:gridCol w:w="1187"/>
      </w:tblGrid>
      <w:tr w:rsidR="004165E8">
        <w:trPr>
          <w:tblHeader/>
        </w:trPr>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风险组序号</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商品示例（典型商品）</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风险权重</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能源</w:t>
            </w:r>
            <w:r>
              <w:rPr>
                <w:rFonts w:ascii="宋体" w:hAnsi="宋体" w:cs="宋体" w:hint="eastAsia"/>
                <w:color w:val="000000"/>
                <w:kern w:val="0"/>
                <w:sz w:val="24"/>
              </w:rPr>
              <w:t>-</w:t>
            </w:r>
            <w:r>
              <w:rPr>
                <w:rFonts w:ascii="宋体" w:hAnsi="宋体" w:cs="宋体" w:hint="eastAsia"/>
                <w:color w:val="000000"/>
                <w:kern w:val="0"/>
                <w:sz w:val="24"/>
              </w:rPr>
              <w:t>固体燃料</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煤、木炭、木屑颗粒、核燃料（例如铀）</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30%</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能源</w:t>
            </w:r>
            <w:r>
              <w:rPr>
                <w:rFonts w:ascii="宋体" w:hAnsi="宋体" w:cs="宋体" w:hint="eastAsia"/>
                <w:color w:val="000000"/>
                <w:kern w:val="0"/>
                <w:sz w:val="24"/>
              </w:rPr>
              <w:t>-</w:t>
            </w:r>
            <w:r>
              <w:rPr>
                <w:rFonts w:ascii="宋体" w:hAnsi="宋体" w:cs="宋体" w:hint="eastAsia"/>
                <w:color w:val="000000"/>
                <w:kern w:val="0"/>
                <w:sz w:val="24"/>
              </w:rPr>
              <w:t>液体燃料</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原油（例如轻质原油、重质原油、西德克萨斯中质原油</w:t>
            </w:r>
            <w:r>
              <w:rPr>
                <w:rFonts w:ascii="宋体" w:hAnsi="宋体" w:cs="宋体" w:hint="eastAsia"/>
                <w:color w:val="000000"/>
                <w:kern w:val="0"/>
                <w:sz w:val="24"/>
              </w:rPr>
              <w:t>WTI</w:t>
            </w:r>
            <w:r>
              <w:rPr>
                <w:rFonts w:ascii="宋体" w:hAnsi="宋体" w:cs="宋体" w:hint="eastAsia"/>
                <w:color w:val="000000"/>
                <w:kern w:val="0"/>
                <w:sz w:val="24"/>
              </w:rPr>
              <w:t>和布伦</w:t>
            </w:r>
            <w:proofErr w:type="gramStart"/>
            <w:r>
              <w:rPr>
                <w:rFonts w:ascii="宋体" w:hAnsi="宋体" w:cs="宋体" w:hint="eastAsia"/>
                <w:color w:val="000000"/>
                <w:kern w:val="0"/>
                <w:sz w:val="24"/>
              </w:rPr>
              <w:t>特</w:t>
            </w:r>
            <w:proofErr w:type="gramEnd"/>
            <w:r>
              <w:rPr>
                <w:rFonts w:ascii="宋体" w:hAnsi="宋体" w:cs="宋体" w:hint="eastAsia"/>
                <w:color w:val="000000"/>
                <w:kern w:val="0"/>
                <w:sz w:val="24"/>
              </w:rPr>
              <w:t>原油）、生物燃料（例如生物乙醇，生物柴油）、石化产品（例如丙烷，乙烷，汽油，甲醛和丁烷）、成品燃料（例如航空煤油、煤油、柴油、燃料油、石脑油、取暖油、柴油）</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35%</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能源</w:t>
            </w:r>
            <w:r>
              <w:rPr>
                <w:rFonts w:ascii="宋体" w:hAnsi="宋体" w:cs="宋体" w:hint="eastAsia"/>
                <w:color w:val="000000"/>
                <w:kern w:val="0"/>
                <w:sz w:val="24"/>
              </w:rPr>
              <w:t>-</w:t>
            </w:r>
            <w:r>
              <w:rPr>
                <w:rFonts w:ascii="宋体" w:hAnsi="宋体" w:cs="宋体" w:hint="eastAsia"/>
                <w:color w:val="000000"/>
                <w:kern w:val="0"/>
                <w:sz w:val="24"/>
              </w:rPr>
              <w:t>电力和</w:t>
            </w:r>
            <w:proofErr w:type="gramStart"/>
            <w:r>
              <w:rPr>
                <w:rFonts w:ascii="宋体" w:hAnsi="宋体" w:cs="宋体" w:hint="eastAsia"/>
                <w:color w:val="000000"/>
                <w:kern w:val="0"/>
                <w:sz w:val="24"/>
              </w:rPr>
              <w:t>碳交易</w:t>
            </w:r>
            <w:proofErr w:type="gramEnd"/>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电力（例如即期、日前、高峰、非高峰）；碳排放交易（例如核证减排量、期交割月份的“欧盟排碳配额”（</w:t>
            </w:r>
            <w:r>
              <w:rPr>
                <w:rFonts w:ascii="宋体" w:hAnsi="宋体" w:cs="宋体" w:hint="eastAsia"/>
                <w:color w:val="000000"/>
                <w:kern w:val="0"/>
                <w:sz w:val="24"/>
              </w:rPr>
              <w:t>EUA</w:t>
            </w:r>
            <w:r>
              <w:rPr>
                <w:rFonts w:ascii="宋体" w:hAnsi="宋体" w:cs="宋体" w:hint="eastAsia"/>
                <w:color w:val="000000"/>
                <w:kern w:val="0"/>
                <w:sz w:val="24"/>
              </w:rPr>
              <w:t>）、区域温室气体应对行动计划二氧化碳排放配额（</w:t>
            </w:r>
            <w:r>
              <w:rPr>
                <w:rFonts w:ascii="宋体" w:hAnsi="宋体" w:cs="宋体" w:hint="eastAsia"/>
                <w:color w:val="000000"/>
                <w:kern w:val="0"/>
                <w:sz w:val="24"/>
              </w:rPr>
              <w:t>RGGI CO2 allowance</w:t>
            </w:r>
            <w:r>
              <w:rPr>
                <w:rFonts w:ascii="宋体" w:hAnsi="宋体" w:cs="宋体" w:hint="eastAsia"/>
                <w:color w:val="000000"/>
                <w:kern w:val="0"/>
                <w:sz w:val="24"/>
              </w:rPr>
              <w:t>）、可再生能源证书</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货运</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干散货航线（例如好望角型散货船、巴拿马型散货船、灵便型散货船、超灵便型散货船）、液体</w:t>
            </w:r>
            <w:r>
              <w:rPr>
                <w:rFonts w:ascii="宋体" w:hAnsi="宋体" w:cs="宋体" w:hint="eastAsia"/>
                <w:color w:val="000000"/>
                <w:kern w:val="0"/>
                <w:sz w:val="24"/>
              </w:rPr>
              <w:t>/</w:t>
            </w:r>
            <w:r>
              <w:rPr>
                <w:rFonts w:ascii="宋体" w:hAnsi="宋体" w:cs="宋体" w:hint="eastAsia"/>
                <w:color w:val="000000"/>
                <w:kern w:val="0"/>
                <w:sz w:val="24"/>
              </w:rPr>
              <w:t>气体散货船（例如苏伊士型油轮、阿芙拉型油轮、大型原油运输船）</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80%</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金属</w:t>
            </w:r>
            <w:r>
              <w:rPr>
                <w:rFonts w:ascii="宋体" w:hAnsi="宋体" w:cs="宋体" w:hint="eastAsia"/>
                <w:color w:val="000000"/>
                <w:kern w:val="0"/>
                <w:sz w:val="24"/>
              </w:rPr>
              <w:t>-</w:t>
            </w:r>
            <w:r>
              <w:rPr>
                <w:rFonts w:ascii="宋体" w:hAnsi="宋体" w:cs="宋体" w:hint="eastAsia"/>
                <w:color w:val="000000"/>
                <w:kern w:val="0"/>
                <w:sz w:val="24"/>
              </w:rPr>
              <w:t>非贵金属</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基本金属（例如铝、铜、铅、镍、锡、锌）、钢材原材料（例如钢坯、钢丝、钢圈、钢屑、钢筋、铁矿石、钨、钒、钛、钽）、稀有金属（例如钴、锰、</w:t>
            </w:r>
            <w:proofErr w:type="gramStart"/>
            <w:r>
              <w:rPr>
                <w:rFonts w:ascii="宋体" w:hAnsi="宋体" w:cs="宋体" w:hint="eastAsia"/>
                <w:color w:val="000000"/>
                <w:kern w:val="0"/>
                <w:sz w:val="24"/>
              </w:rPr>
              <w:t>钼</w:t>
            </w:r>
            <w:proofErr w:type="gramEnd"/>
            <w:r>
              <w:rPr>
                <w:rFonts w:ascii="宋体" w:hAnsi="宋体" w:cs="宋体" w:hint="eastAsia"/>
                <w:color w:val="000000"/>
                <w:kern w:val="0"/>
                <w:sz w:val="24"/>
              </w:rPr>
              <w:t>）</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40%</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气体燃料</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天然气、液化天然气</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贵金属（含黄金）</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黄金、白银、铂金、钯金</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20%</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谷物和油料</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玉米、小麦、豆类（例如大豆籽、大豆油、大豆</w:t>
            </w:r>
            <w:proofErr w:type="gramStart"/>
            <w:r>
              <w:rPr>
                <w:rFonts w:ascii="宋体" w:hAnsi="宋体" w:cs="宋体" w:hint="eastAsia"/>
                <w:color w:val="000000"/>
                <w:kern w:val="0"/>
                <w:sz w:val="24"/>
              </w:rPr>
              <w:t>粕</w:t>
            </w:r>
            <w:proofErr w:type="gramEnd"/>
            <w:r>
              <w:rPr>
                <w:rFonts w:ascii="宋体" w:hAnsi="宋体" w:cs="宋体" w:hint="eastAsia"/>
                <w:color w:val="000000"/>
                <w:kern w:val="0"/>
                <w:sz w:val="24"/>
              </w:rPr>
              <w:t>）、燕麦、棕榈油、</w:t>
            </w:r>
            <w:proofErr w:type="gramStart"/>
            <w:r>
              <w:rPr>
                <w:rFonts w:ascii="宋体" w:hAnsi="宋体" w:cs="宋体" w:hint="eastAsia"/>
                <w:color w:val="000000"/>
                <w:kern w:val="0"/>
                <w:sz w:val="24"/>
              </w:rPr>
              <w:t>芥</w:t>
            </w:r>
            <w:proofErr w:type="gramEnd"/>
            <w:r>
              <w:rPr>
                <w:rFonts w:ascii="宋体" w:hAnsi="宋体" w:cs="宋体" w:hint="eastAsia"/>
                <w:color w:val="000000"/>
                <w:kern w:val="0"/>
                <w:sz w:val="24"/>
              </w:rPr>
              <w:t>花籽、大麦、菜籽（例如油菜籽、油菜籽油、油菜籽</w:t>
            </w:r>
            <w:proofErr w:type="gramStart"/>
            <w:r>
              <w:rPr>
                <w:rFonts w:ascii="宋体" w:hAnsi="宋体" w:cs="宋体" w:hint="eastAsia"/>
                <w:color w:val="000000"/>
                <w:kern w:val="0"/>
                <w:sz w:val="24"/>
              </w:rPr>
              <w:t>粕</w:t>
            </w:r>
            <w:proofErr w:type="gramEnd"/>
            <w:r>
              <w:rPr>
                <w:rFonts w:ascii="宋体" w:hAnsi="宋体" w:cs="宋体" w:hint="eastAsia"/>
                <w:color w:val="000000"/>
                <w:kern w:val="0"/>
                <w:sz w:val="24"/>
              </w:rPr>
              <w:t>）、红豆、高粱、椰子油、橄榄油、花生油、葵花籽油、水稻</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35%</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家畜和乳制品</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牛（例如活牛和育肥牛）、猪、家禽、羊、鱼、虾、乳制品（例如牛奶、乳清、鸡蛋、黄油和奶酪）</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25%</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软饮料和其它农产品</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可可、咖啡（例如</w:t>
            </w:r>
            <w:r>
              <w:rPr>
                <w:rFonts w:ascii="宋体" w:hAnsi="宋体" w:cs="宋体" w:hint="eastAsia"/>
                <w:color w:val="000000"/>
                <w:kern w:val="0"/>
                <w:sz w:val="24"/>
              </w:rPr>
              <w:t>Arabica</w:t>
            </w:r>
            <w:r>
              <w:rPr>
                <w:rFonts w:ascii="宋体" w:hAnsi="宋体" w:cs="宋体" w:hint="eastAsia"/>
                <w:color w:val="000000"/>
                <w:kern w:val="0"/>
                <w:sz w:val="24"/>
              </w:rPr>
              <w:t>和</w:t>
            </w:r>
            <w:r>
              <w:rPr>
                <w:rFonts w:ascii="宋体" w:hAnsi="宋体" w:cs="宋体" w:hint="eastAsia"/>
                <w:color w:val="000000"/>
                <w:kern w:val="0"/>
                <w:sz w:val="24"/>
              </w:rPr>
              <w:t>Robusta</w:t>
            </w:r>
            <w:r>
              <w:rPr>
                <w:rFonts w:ascii="宋体" w:hAnsi="宋体" w:cs="宋体" w:hint="eastAsia"/>
                <w:color w:val="000000"/>
                <w:kern w:val="0"/>
                <w:sz w:val="24"/>
              </w:rPr>
              <w:t>咖啡豆）、茶、柑橘和橙汁、土豆、糖、棉、羊毛、木材和纸浆、橡胶</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35%</w:t>
            </w:r>
          </w:p>
        </w:tc>
      </w:tr>
      <w:tr w:rsidR="004165E8">
        <w:tc>
          <w:tcPr>
            <w:tcW w:w="981"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lastRenderedPageBreak/>
              <w:t>11</w:t>
            </w:r>
          </w:p>
        </w:tc>
        <w:tc>
          <w:tcPr>
            <w:tcW w:w="173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其他商品</w:t>
            </w:r>
          </w:p>
        </w:tc>
        <w:tc>
          <w:tcPr>
            <w:tcW w:w="4636" w:type="dxa"/>
            <w:tcBorders>
              <w:top w:val="single" w:sz="4" w:space="0" w:color="000000"/>
              <w:left w:val="nil"/>
              <w:bottom w:val="single" w:sz="4" w:space="0" w:color="000000"/>
              <w:right w:val="single" w:sz="4" w:space="0" w:color="000000"/>
            </w:tcBorders>
            <w:vAlign w:val="center"/>
          </w:tcPr>
          <w:p w:rsidR="004165E8" w:rsidRDefault="00A108D9">
            <w:pPr>
              <w:widowControl/>
              <w:jc w:val="left"/>
              <w:rPr>
                <w:rFonts w:ascii="宋体" w:hAnsi="宋体" w:cs="宋体"/>
                <w:color w:val="000000"/>
                <w:kern w:val="0"/>
                <w:sz w:val="24"/>
              </w:rPr>
            </w:pPr>
            <w:r>
              <w:rPr>
                <w:rFonts w:ascii="宋体" w:hAnsi="宋体" w:cs="宋体" w:hint="eastAsia"/>
                <w:color w:val="000000"/>
                <w:kern w:val="0"/>
                <w:sz w:val="24"/>
              </w:rPr>
              <w:t>工业原料（例如钾碱、化肥、磷酸岩）、稀土、对苯二酸、平板玻璃</w:t>
            </w:r>
          </w:p>
        </w:tc>
        <w:tc>
          <w:tcPr>
            <w:tcW w:w="1187"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50%</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）计算商品风险得尔塔敏感度风险头寸时，同一个风险组内的相关系数</w:t>
      </w:r>
      <w:r>
        <w:rPr>
          <w:position w:val="-14"/>
          <w:sz w:val="30"/>
          <w:szCs w:val="30"/>
        </w:rPr>
        <w:object w:dxaOrig="387" w:dyaOrig="387">
          <v:shape id="_x0000_i1181" type="#_x0000_t75" style="width:19.25pt;height:19.25pt" o:ole="">
            <v:imagedata r:id="rId59" o:title=""/>
          </v:shape>
          <o:OLEObject Type="Embed" ProgID="Equation.DSMT4" ShapeID="_x0000_i1181" DrawAspect="Content" ObjectID="_1765373748" r:id="rId248"/>
        </w:object>
      </w:r>
      <w:r>
        <w:rPr>
          <w:rFonts w:ascii="仿宋_GB2312" w:eastAsia="仿宋_GB2312" w:cs="仿宋_GB2312" w:hint="eastAsia"/>
          <w:color w:val="000000"/>
          <w:kern w:val="0"/>
          <w:sz w:val="30"/>
          <w:szCs w:val="30"/>
          <w:shd w:val="clear" w:color="auto" w:fill="FFFFFF"/>
          <w:lang w:bidi="ar"/>
        </w:rPr>
        <w:t>计算方法如下：</w:t>
      </w:r>
    </w:p>
    <w:p w:rsidR="004165E8" w:rsidRDefault="00A108D9">
      <w:pPr>
        <w:widowControl/>
        <w:spacing w:line="480" w:lineRule="exact"/>
        <w:jc w:val="center"/>
        <w:rPr>
          <w:rFonts w:ascii="仿宋_GB2312" w:eastAsia="仿宋_GB2312" w:cs="仿宋_GB2312"/>
          <w:color w:val="000000"/>
          <w:kern w:val="0"/>
          <w:sz w:val="30"/>
          <w:szCs w:val="30"/>
          <w:shd w:val="clear" w:color="auto" w:fill="FFFFFF"/>
          <w:lang w:bidi="ar"/>
        </w:rPr>
      </w:pPr>
      <w:r>
        <w:rPr>
          <w:position w:val="-12"/>
          <w:sz w:val="30"/>
          <w:szCs w:val="30"/>
        </w:rPr>
        <w:object w:dxaOrig="2707" w:dyaOrig="387">
          <v:shape id="_x0000_i1182" type="#_x0000_t75" style="width:135.45pt;height:19.25pt" o:ole="">
            <v:imagedata r:id="rId249" o:title=""/>
          </v:shape>
          <o:OLEObject Type="Embed" ProgID="Equation.DSMT4" ShapeID="_x0000_i1182" DrawAspect="Content" ObjectID="_1765373749" r:id="rId250"/>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若期限维度相同，则</w:t>
      </w:r>
      <w:r>
        <w:rPr>
          <w:position w:val="-12"/>
          <w:sz w:val="30"/>
          <w:szCs w:val="30"/>
        </w:rPr>
        <w:object w:dxaOrig="733" w:dyaOrig="387">
          <v:shape id="_x0000_i1183" type="#_x0000_t75" style="width:36.7pt;height:19.25pt" o:ole="">
            <v:imagedata r:id="rId251" o:title=""/>
          </v:shape>
          <o:OLEObject Type="Embed" ProgID="Equation.DSMT4" ShapeID="_x0000_i1183" DrawAspect="Content" ObjectID="_1765373750" r:id="rId252"/>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99%</w:t>
      </w:r>
      <w:r>
        <w:rPr>
          <w:rFonts w:ascii="仿宋_GB2312" w:eastAsia="仿宋_GB2312" w:cs="仿宋_GB2312" w:hint="eastAsia"/>
          <w:color w:val="000000"/>
          <w:kern w:val="0"/>
          <w:sz w:val="30"/>
          <w:szCs w:val="30"/>
          <w:shd w:val="clear" w:color="auto" w:fill="FFFFFF"/>
          <w:lang w:bidi="ar"/>
        </w:rPr>
        <w:t>；若交割地相同，则</w:t>
      </w:r>
      <w:r>
        <w:rPr>
          <w:position w:val="-12"/>
          <w:sz w:val="30"/>
          <w:szCs w:val="30"/>
        </w:rPr>
        <w:object w:dxaOrig="680" w:dyaOrig="387">
          <v:shape id="_x0000_i1184" type="#_x0000_t75" style="width:33.85pt;height:19.25pt" o:ole="">
            <v:imagedata r:id="rId253" o:title=""/>
          </v:shape>
          <o:OLEObject Type="Embed" ProgID="Equation.DSMT4" ShapeID="_x0000_i1184" DrawAspect="Content" ObjectID="_1765373751" r:id="rId254"/>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rFonts w:ascii="仿宋_GB2312" w:eastAsia="仿宋_GB2312" w:cs="仿宋_GB2312" w:hint="eastAsia"/>
          <w:color w:val="000000"/>
          <w:kern w:val="0"/>
          <w:sz w:val="30"/>
          <w:szCs w:val="30"/>
          <w:shd w:val="clear" w:color="auto" w:fill="FFFFFF"/>
          <w:lang w:bidi="ar"/>
        </w:rPr>
        <w:t>99.90</w:t>
      </w:r>
      <w:r>
        <w:rPr>
          <w:rFonts w:ascii="仿宋_GB2312" w:eastAsia="仿宋_GB2312" w:cs="仿宋_GB2312"/>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；若商品相同，则</w:t>
      </w:r>
      <w:r>
        <w:rPr>
          <w:position w:val="-12"/>
          <w:sz w:val="30"/>
          <w:szCs w:val="30"/>
        </w:rPr>
        <w:object w:dxaOrig="547" w:dyaOrig="387">
          <v:shape id="_x0000_i1185" type="#_x0000_t75" style="width:27.45pt;height:19.25pt" o:ole="">
            <v:imagedata r:id="rId255" o:title=""/>
          </v:shape>
          <o:OLEObject Type="Embed" ProgID="Equation.DSMT4" ShapeID="_x0000_i1185" DrawAspect="Content" ObjectID="_1765373752" r:id="rId256"/>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，否则按表</w:t>
      </w:r>
      <w:r>
        <w:rPr>
          <w:rFonts w:ascii="仿宋_GB2312" w:eastAsia="仿宋_GB2312" w:cs="仿宋_GB2312" w:hint="eastAsia"/>
          <w:color w:val="000000"/>
          <w:kern w:val="0"/>
          <w:sz w:val="30"/>
          <w:szCs w:val="30"/>
          <w:shd w:val="clear" w:color="auto" w:fill="FFFFFF"/>
          <w:lang w:bidi="ar"/>
        </w:rPr>
        <w:t>12</w:t>
      </w:r>
      <w:r>
        <w:rPr>
          <w:rFonts w:ascii="仿宋_GB2312" w:eastAsia="仿宋_GB2312" w:cs="仿宋_GB2312" w:hint="eastAsia"/>
          <w:color w:val="000000"/>
          <w:kern w:val="0"/>
          <w:sz w:val="30"/>
          <w:szCs w:val="30"/>
          <w:shd w:val="clear" w:color="auto" w:fill="FFFFFF"/>
          <w:lang w:bidi="ar"/>
        </w:rPr>
        <w:t>取数。</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12</w:t>
      </w:r>
      <w:r>
        <w:rPr>
          <w:rFonts w:ascii="楷体_GB2312" w:eastAsia="楷体_GB2312"/>
          <w:b/>
          <w:sz w:val="28"/>
          <w:szCs w:val="28"/>
        </w:rPr>
        <w:t xml:space="preserve"> </w:t>
      </w:r>
      <w:r>
        <w:rPr>
          <w:rFonts w:ascii="楷体_GB2312" w:eastAsia="楷体_GB2312" w:hint="eastAsia"/>
          <w:b/>
          <w:sz w:val="28"/>
          <w:szCs w:val="28"/>
        </w:rPr>
        <w:t>商品风险组内相关系数</w:t>
      </w:r>
      <w:r>
        <w:rPr>
          <w:rFonts w:ascii="楷体_GB2312" w:eastAsia="楷体_GB2312"/>
          <w:b/>
          <w:sz w:val="28"/>
          <w:szCs w:val="28"/>
        </w:rPr>
        <w:object w:dxaOrig="547" w:dyaOrig="387">
          <v:shape id="_x0000_i1186" type="#_x0000_t75" style="width:27.45pt;height:19.25pt" o:ole="">
            <v:imagedata r:id="rId257" o:title=""/>
          </v:shape>
          <o:OLEObject Type="Embed" ProgID="Equation.DSMT4" ShapeID="_x0000_i1186" DrawAspect="Content" ObjectID="_1765373753" r:id="rId258"/>
        </w:object>
      </w:r>
    </w:p>
    <w:tbl>
      <w:tblPr>
        <w:tblW w:w="6740" w:type="dxa"/>
        <w:jc w:val="center"/>
        <w:tblLayout w:type="fixed"/>
        <w:tblLook w:val="04A0" w:firstRow="1" w:lastRow="0" w:firstColumn="1" w:lastColumn="0" w:noHBand="0" w:noVBand="1"/>
      </w:tblPr>
      <w:tblGrid>
        <w:gridCol w:w="1485"/>
        <w:gridCol w:w="2666"/>
        <w:gridCol w:w="2589"/>
      </w:tblGrid>
      <w:tr w:rsidR="004165E8">
        <w:trPr>
          <w:trHeight w:val="355"/>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风险组序号</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商品风险组分类</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b/>
                <w:bCs/>
                <w:color w:val="000000"/>
                <w:kern w:val="0"/>
                <w:sz w:val="24"/>
              </w:rPr>
            </w:pPr>
            <w:r>
              <w:rPr>
                <w:rFonts w:ascii="宋体" w:hAnsi="宋体" w:cs="宋体" w:hint="eastAsia"/>
                <w:b/>
                <w:bCs/>
                <w:color w:val="000000"/>
                <w:kern w:val="0"/>
                <w:sz w:val="24"/>
              </w:rPr>
              <w:t>相关系数</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能源</w:t>
            </w:r>
            <w:r>
              <w:rPr>
                <w:rFonts w:ascii="宋体" w:hAnsi="宋体" w:cs="宋体" w:hint="eastAsia"/>
                <w:color w:val="000000"/>
                <w:kern w:val="0"/>
                <w:sz w:val="24"/>
              </w:rPr>
              <w:t>-</w:t>
            </w:r>
            <w:r>
              <w:rPr>
                <w:rFonts w:ascii="宋体" w:hAnsi="宋体" w:cs="宋体" w:hint="eastAsia"/>
                <w:color w:val="000000"/>
                <w:kern w:val="0"/>
                <w:sz w:val="24"/>
              </w:rPr>
              <w:t>固体燃料</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55%</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能源</w:t>
            </w:r>
            <w:r>
              <w:rPr>
                <w:rFonts w:ascii="宋体" w:hAnsi="宋体" w:cs="宋体" w:hint="eastAsia"/>
                <w:color w:val="000000"/>
                <w:kern w:val="0"/>
                <w:sz w:val="24"/>
              </w:rPr>
              <w:t>-</w:t>
            </w:r>
            <w:r>
              <w:rPr>
                <w:rFonts w:ascii="宋体" w:hAnsi="宋体" w:cs="宋体" w:hint="eastAsia"/>
                <w:color w:val="000000"/>
                <w:kern w:val="0"/>
                <w:sz w:val="24"/>
              </w:rPr>
              <w:t>液体燃料</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95%</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能源</w:t>
            </w:r>
            <w:r>
              <w:rPr>
                <w:rFonts w:ascii="宋体" w:hAnsi="宋体" w:cs="宋体" w:hint="eastAsia"/>
                <w:color w:val="000000"/>
                <w:kern w:val="0"/>
                <w:sz w:val="24"/>
              </w:rPr>
              <w:t>-</w:t>
            </w:r>
            <w:r>
              <w:rPr>
                <w:rFonts w:ascii="宋体" w:hAnsi="宋体" w:cs="宋体" w:hint="eastAsia"/>
                <w:color w:val="000000"/>
                <w:kern w:val="0"/>
                <w:sz w:val="24"/>
              </w:rPr>
              <w:t>电力和</w:t>
            </w:r>
            <w:proofErr w:type="gramStart"/>
            <w:r>
              <w:rPr>
                <w:rFonts w:ascii="宋体" w:hAnsi="宋体" w:cs="宋体" w:hint="eastAsia"/>
                <w:color w:val="000000"/>
                <w:kern w:val="0"/>
                <w:sz w:val="24"/>
              </w:rPr>
              <w:t>碳交易</w:t>
            </w:r>
            <w:proofErr w:type="gramEnd"/>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40%</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货运</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80%</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金属</w:t>
            </w:r>
            <w:r>
              <w:rPr>
                <w:rFonts w:ascii="宋体" w:hAnsi="宋体" w:cs="宋体" w:hint="eastAsia"/>
                <w:color w:val="000000"/>
                <w:kern w:val="0"/>
                <w:sz w:val="24"/>
              </w:rPr>
              <w:t>-</w:t>
            </w:r>
            <w:r>
              <w:rPr>
                <w:rFonts w:ascii="宋体" w:hAnsi="宋体" w:cs="宋体" w:hint="eastAsia"/>
                <w:color w:val="000000"/>
                <w:kern w:val="0"/>
                <w:sz w:val="24"/>
              </w:rPr>
              <w:t>非贵金属</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60%</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气体燃料</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65%</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贵金属（含黄金）</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55%</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谷物和油料</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家畜和奶制品</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r>
      <w:tr w:rsidR="004165E8">
        <w:trPr>
          <w:trHeight w:val="297"/>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软饮料和其它农产品</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40%</w:t>
            </w:r>
          </w:p>
        </w:tc>
      </w:tr>
      <w:tr w:rsidR="004165E8">
        <w:trPr>
          <w:trHeight w:val="306"/>
          <w:jc w:val="center"/>
        </w:trPr>
        <w:tc>
          <w:tcPr>
            <w:tcW w:w="1485" w:type="dxa"/>
            <w:tcBorders>
              <w:top w:val="single" w:sz="4" w:space="0" w:color="000000"/>
              <w:left w:val="single" w:sz="4" w:space="0" w:color="000000"/>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2666"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其他商品</w:t>
            </w:r>
          </w:p>
        </w:tc>
        <w:tc>
          <w:tcPr>
            <w:tcW w:w="2589" w:type="dxa"/>
            <w:tcBorders>
              <w:top w:val="single" w:sz="4" w:space="0" w:color="000000"/>
              <w:left w:val="nil"/>
              <w:bottom w:val="single" w:sz="4" w:space="0" w:color="000000"/>
              <w:right w:val="single" w:sz="4" w:space="0" w:color="000000"/>
            </w:tcBorders>
            <w:vAlign w:val="center"/>
          </w:tcPr>
          <w:p w:rsidR="004165E8" w:rsidRDefault="00A108D9">
            <w:pPr>
              <w:widowControl/>
              <w:jc w:val="center"/>
              <w:rPr>
                <w:rFonts w:ascii="宋体" w:hAnsi="宋体" w:cs="宋体"/>
                <w:color w:val="000000"/>
                <w:kern w:val="0"/>
                <w:sz w:val="24"/>
              </w:rPr>
            </w:pPr>
            <w:r>
              <w:rPr>
                <w:rFonts w:ascii="宋体" w:hAnsi="宋体" w:cs="宋体" w:hint="eastAsia"/>
                <w:color w:val="000000"/>
                <w:kern w:val="0"/>
                <w:sz w:val="24"/>
              </w:rPr>
              <w:t>15%</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对于风险组</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，合约写明的不同时间段配送的电力是不同的商品，在不同地区生产的电力是不同的商品。</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对于风险组</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，不同货运类型和路线的组合是不同的商品，在不同时间交割的商品是不同的商品。</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对于风险组</w:t>
      </w:r>
      <w:r>
        <w:rPr>
          <w:rFonts w:ascii="仿宋_GB2312" w:eastAsia="仿宋_GB2312" w:cs="仿宋_GB2312"/>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，各类黄金产品或合约可视为同一商品，各类白银产品或合约可视为同一商品。</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）计算得尔塔敏感度</w:t>
      </w:r>
      <w:proofErr w:type="gramStart"/>
      <w:r>
        <w:rPr>
          <w:rFonts w:ascii="仿宋_GB2312" w:eastAsia="仿宋_GB2312" w:cs="仿宋_GB2312" w:hint="eastAsia"/>
          <w:color w:val="000000"/>
          <w:kern w:val="0"/>
          <w:sz w:val="30"/>
          <w:szCs w:val="30"/>
          <w:shd w:val="clear" w:color="auto" w:fill="FFFFFF"/>
          <w:lang w:bidi="ar"/>
        </w:rPr>
        <w:t>和维伽敏感度</w:t>
      </w:r>
      <w:proofErr w:type="gramEnd"/>
      <w:r>
        <w:rPr>
          <w:rFonts w:ascii="仿宋_GB2312" w:eastAsia="仿宋_GB2312" w:cs="仿宋_GB2312" w:hint="eastAsia"/>
          <w:color w:val="000000"/>
          <w:kern w:val="0"/>
          <w:sz w:val="30"/>
          <w:szCs w:val="30"/>
          <w:shd w:val="clear" w:color="auto" w:fill="FFFFFF"/>
          <w:lang w:bidi="ar"/>
        </w:rPr>
        <w:t>资本要求时，不同风险组之间的相关系数</w:t>
      </w:r>
      <w:r>
        <w:rPr>
          <w:position w:val="-12"/>
          <w:sz w:val="30"/>
          <w:szCs w:val="30"/>
        </w:rPr>
        <w:object w:dxaOrig="320" w:dyaOrig="320">
          <v:shape id="_x0000_i1187" type="#_x0000_t75" style="width:16.05pt;height:16.05pt" o:ole="">
            <v:imagedata r:id="rId18" o:title=""/>
          </v:shape>
          <o:OLEObject Type="Embed" ProgID="Equation.DSMT4" ShapeID="_x0000_i1187" DrawAspect="Content" ObjectID="_1765373754" r:id="rId259"/>
        </w:object>
      </w:r>
      <w:r>
        <w:rPr>
          <w:rFonts w:ascii="仿宋_GB2312" w:eastAsia="仿宋_GB2312" w:cs="仿宋_GB2312" w:hint="eastAsia"/>
          <w:color w:val="000000"/>
          <w:kern w:val="0"/>
          <w:sz w:val="30"/>
          <w:szCs w:val="30"/>
          <w:shd w:val="clear" w:color="auto" w:fill="FFFFFF"/>
          <w:lang w:bidi="ar"/>
        </w:rPr>
        <w:t>如下：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对于风险组</w:t>
      </w:r>
      <w:r>
        <w:rPr>
          <w:rFonts w:ascii="仿宋_GB2312" w:eastAsia="仿宋_GB2312" w:hint="eastAsia"/>
          <w:sz w:val="30"/>
          <w:szCs w:val="30"/>
        </w:rPr>
        <w:t>1</w:t>
      </w:r>
      <w:proofErr w:type="gramStart"/>
      <w:r>
        <w:rPr>
          <w:rFonts w:ascii="仿宋_GB2312" w:eastAsia="仿宋_GB2312" w:hint="eastAsia"/>
          <w:sz w:val="30"/>
          <w:szCs w:val="30"/>
        </w:rPr>
        <w:t>至风险组</w:t>
      </w:r>
      <w:proofErr w:type="gramEnd"/>
      <w:r>
        <w:rPr>
          <w:rFonts w:ascii="仿宋_GB2312" w:eastAsia="仿宋_GB2312" w:hint="eastAsia"/>
          <w:sz w:val="30"/>
          <w:szCs w:val="30"/>
        </w:rPr>
        <w:t>10</w:t>
      </w:r>
      <w:r>
        <w:rPr>
          <w:rFonts w:ascii="仿宋_GB2312" w:eastAsia="仿宋_GB2312" w:hint="eastAsia"/>
          <w:sz w:val="30"/>
          <w:szCs w:val="30"/>
        </w:rPr>
        <w:t>，相关系数</w:t>
      </w:r>
      <w:r>
        <w:rPr>
          <w:position w:val="-12"/>
          <w:sz w:val="30"/>
          <w:szCs w:val="30"/>
        </w:rPr>
        <w:object w:dxaOrig="320" w:dyaOrig="320">
          <v:shape id="_x0000_i1188" type="#_x0000_t75" style="width:16.05pt;height:16.05pt" o:ole="">
            <v:imagedata r:id="rId18" o:title=""/>
          </v:shape>
          <o:OLEObject Type="Embed" ProgID="Equation.DSMT4" ShapeID="_x0000_i1188" DrawAspect="Content" ObjectID="_1765373755" r:id="rId260"/>
        </w:object>
      </w:r>
      <w:r>
        <w:rPr>
          <w:rFonts w:ascii="仿宋_GB2312" w:eastAsia="仿宋_GB2312" w:hint="eastAsia"/>
          <w:sz w:val="30"/>
          <w:szCs w:val="30"/>
        </w:rPr>
        <w:t>为</w:t>
      </w:r>
      <w:r>
        <w:rPr>
          <w:rFonts w:ascii="仿宋_GB2312" w:eastAsia="仿宋_GB2312" w:hint="eastAsia"/>
          <w:sz w:val="30"/>
          <w:szCs w:val="30"/>
        </w:rPr>
        <w:t>20%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lastRenderedPageBreak/>
        <w:t>b.</w:t>
      </w:r>
      <w:r>
        <w:rPr>
          <w:rFonts w:ascii="仿宋_GB2312" w:eastAsia="仿宋_GB2312" w:hint="eastAsia"/>
          <w:sz w:val="30"/>
          <w:szCs w:val="30"/>
        </w:rPr>
        <w:t>风险组</w:t>
      </w:r>
      <w:r>
        <w:rPr>
          <w:rFonts w:ascii="仿宋_GB2312" w:eastAsia="仿宋_GB2312" w:hint="eastAsia"/>
          <w:sz w:val="30"/>
          <w:szCs w:val="30"/>
        </w:rPr>
        <w:t>11</w:t>
      </w:r>
      <w:r>
        <w:rPr>
          <w:rFonts w:ascii="仿宋_GB2312" w:eastAsia="仿宋_GB2312" w:hint="eastAsia"/>
          <w:sz w:val="30"/>
          <w:szCs w:val="30"/>
        </w:rPr>
        <w:t>与其他风险组之间的相关系数</w:t>
      </w:r>
      <w:r>
        <w:rPr>
          <w:position w:val="-12"/>
          <w:sz w:val="30"/>
          <w:szCs w:val="30"/>
        </w:rPr>
        <w:object w:dxaOrig="320" w:dyaOrig="320">
          <v:shape id="_x0000_i1189" type="#_x0000_t75" style="width:16.05pt;height:16.05pt" o:ole="">
            <v:imagedata r:id="rId18" o:title=""/>
          </v:shape>
          <o:OLEObject Type="Embed" ProgID="Equation.DSMT4" ShapeID="_x0000_i1189" DrawAspect="Content" ObjectID="_1765373756" r:id="rId261"/>
        </w:object>
      </w:r>
      <w:r>
        <w:rPr>
          <w:rFonts w:ascii="仿宋_GB2312" w:eastAsia="仿宋_GB2312" w:hint="eastAsia"/>
          <w:sz w:val="30"/>
          <w:szCs w:val="30"/>
        </w:rPr>
        <w:t>为</w:t>
      </w:r>
      <w:r>
        <w:rPr>
          <w:rFonts w:ascii="仿宋_GB2312" w:eastAsia="仿宋_GB2312" w:hint="eastAsia"/>
          <w:sz w:val="30"/>
          <w:szCs w:val="30"/>
        </w:rPr>
        <w:t>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hint="eastAsia"/>
          <w:sz w:val="30"/>
          <w:szCs w:val="30"/>
        </w:rPr>
        <w:t>的</w:t>
      </w:r>
      <w:r>
        <w:rPr>
          <w:rFonts w:ascii="仿宋_GB2312" w:eastAsia="仿宋_GB2312" w:cs="仿宋_GB2312" w:hint="eastAsia"/>
          <w:color w:val="000000"/>
          <w:kern w:val="0"/>
          <w:sz w:val="30"/>
          <w:szCs w:val="30"/>
          <w:shd w:val="clear" w:color="auto" w:fill="FFFFFF"/>
          <w:lang w:bidi="ar"/>
        </w:rPr>
        <w:t>风险权重为</w:t>
      </w:r>
      <w:r>
        <w:rPr>
          <w:rFonts w:ascii="仿宋_GB2312" w:eastAsia="仿宋_GB2312" w:cs="仿宋_GB2312" w:hint="eastAsia"/>
          <w:color w:val="000000"/>
          <w:kern w:val="0"/>
          <w:sz w:val="30"/>
          <w:szCs w:val="30"/>
          <w:shd w:val="clear" w:color="auto" w:fill="FFFFFF"/>
          <w:lang w:bidi="ar"/>
        </w:rPr>
        <w:t>100%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计算维伽敏感度</w:t>
      </w:r>
      <w:proofErr w:type="gramEnd"/>
      <w:r>
        <w:rPr>
          <w:rFonts w:ascii="仿宋_GB2312" w:eastAsia="仿宋_GB2312" w:cs="仿宋_GB2312" w:hint="eastAsia"/>
          <w:color w:val="000000"/>
          <w:kern w:val="0"/>
          <w:sz w:val="30"/>
          <w:szCs w:val="30"/>
          <w:shd w:val="clear" w:color="auto" w:fill="FFFFFF"/>
          <w:lang w:bidi="ar"/>
        </w:rPr>
        <w:t>风险头寸时，同一个风险组内的相关系数</w:t>
      </w:r>
      <w:r>
        <w:rPr>
          <w:position w:val="-14"/>
          <w:sz w:val="30"/>
          <w:szCs w:val="30"/>
        </w:rPr>
        <w:object w:dxaOrig="387" w:dyaOrig="387">
          <v:shape id="_x0000_i1190" type="#_x0000_t75" style="width:19.25pt;height:19.25pt" o:ole="">
            <v:imagedata r:id="rId59" o:title=""/>
          </v:shape>
          <o:OLEObject Type="Embed" ProgID="Equation.DSMT4" ShapeID="_x0000_i1190" DrawAspect="Content" ObjectID="_1765373757" r:id="rId262"/>
        </w:object>
      </w:r>
      <w:r>
        <w:rPr>
          <w:rFonts w:ascii="仿宋_GB2312" w:eastAsia="仿宋_GB2312" w:hint="eastAsia"/>
          <w:sz w:val="30"/>
          <w:szCs w:val="30"/>
        </w:rPr>
        <w:t>计算公式详见本附件第二部分（五）</w:t>
      </w:r>
      <w:r>
        <w:rPr>
          <w:rFonts w:ascii="仿宋_GB2312" w:eastAsia="仿宋_GB2312" w:hint="eastAsia"/>
          <w:sz w:val="30"/>
          <w:szCs w:val="30"/>
        </w:rPr>
        <w:t>3</w:t>
      </w:r>
      <w:r>
        <w:rPr>
          <w:rFonts w:ascii="仿宋_GB2312" w:eastAsia="仿宋_GB2312" w:hint="eastAsia"/>
          <w:sz w:val="30"/>
          <w:szCs w:val="30"/>
        </w:rPr>
        <w:t>。其中，</w:t>
      </w:r>
      <w:r>
        <w:rPr>
          <w:position w:val="-12"/>
          <w:sz w:val="30"/>
          <w:szCs w:val="30"/>
        </w:rPr>
        <w:object w:dxaOrig="893" w:dyaOrig="387">
          <v:shape id="_x0000_i1191" type="#_x0000_t75" style="width:44.55pt;height:19.25pt" o:ole="">
            <v:imagedata r:id="rId180" o:title=""/>
          </v:shape>
          <o:OLEObject Type="Embed" ProgID="Equation.DSMT4" ShapeID="_x0000_i1191" DrawAspect="Content" ObjectID="_1765373758" r:id="rId263"/>
        </w:object>
      </w:r>
      <w:r>
        <w:rPr>
          <w:rFonts w:ascii="仿宋_GB2312" w:eastAsia="仿宋_GB2312" w:hint="eastAsia"/>
          <w:sz w:val="30"/>
          <w:szCs w:val="30"/>
        </w:rPr>
        <w:t>是</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因子与得尔塔风险因子的维度交集所对应的相关系数</w:t>
      </w:r>
      <w:r>
        <w:rPr>
          <w:position w:val="-12"/>
          <w:sz w:val="30"/>
          <w:szCs w:val="30"/>
        </w:rPr>
        <w:object w:dxaOrig="547" w:dyaOrig="387">
          <v:shape id="_x0000_i1192" type="#_x0000_t75" style="width:27.45pt;height:19.25pt" o:ole="">
            <v:imagedata r:id="rId264" o:title=""/>
          </v:shape>
          <o:OLEObject Type="Embed" ProgID="Equation.DSMT4" ShapeID="_x0000_i1192" DrawAspect="Content" ObjectID="_1765373759" r:id="rId265"/>
        </w:object>
      </w:r>
      <w:r>
        <w:rPr>
          <w:rFonts w:hint="eastAsia"/>
          <w:sz w:val="30"/>
          <w:szCs w:val="30"/>
        </w:rPr>
        <w:t>。</w:t>
      </w:r>
      <w:r>
        <w:rPr>
          <w:rFonts w:ascii="仿宋_GB2312" w:eastAsia="仿宋_GB2312"/>
          <w:sz w:val="30"/>
          <w:szCs w:val="30"/>
        </w:rPr>
        <w:t xml:space="preserve"> </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）曲度敏感度风险权重是给定风险因子的冲击幅度，等于对应的得尔塔风险权重。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）计算曲度敏感度风险头寸时，若两个风险因子属于同一商品，则组内相关系数</w:t>
      </w:r>
      <w:r>
        <w:rPr>
          <w:position w:val="-14"/>
          <w:sz w:val="30"/>
          <w:szCs w:val="30"/>
        </w:rPr>
        <w:object w:dxaOrig="387" w:dyaOrig="387">
          <v:shape id="_x0000_i1193" type="#_x0000_t75" style="width:19.25pt;height:19.25pt" o:ole="">
            <v:imagedata r:id="rId59" o:title=""/>
          </v:shape>
          <o:OLEObject Type="Embed" ProgID="Equation.DSMT4" ShapeID="_x0000_i1193" DrawAspect="Content" ObjectID="_1765373760" r:id="rId266"/>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，否则为</w:t>
      </w:r>
      <w:r>
        <w:rPr>
          <w:position w:val="-12"/>
          <w:sz w:val="30"/>
          <w:szCs w:val="30"/>
        </w:rPr>
        <w:object w:dxaOrig="547" w:dyaOrig="387">
          <v:shape id="_x0000_i1194" type="#_x0000_t75" style="width:27.45pt;height:19.25pt" o:ole="">
            <v:imagedata r:id="rId264" o:title=""/>
          </v:shape>
          <o:OLEObject Type="Embed" ProgID="Equation.DSMT4" ShapeID="_x0000_i1194" DrawAspect="Content" ObjectID="_1765373761" r:id="rId267"/>
        </w:object>
      </w:r>
      <w:r>
        <w:rPr>
          <w:rFonts w:ascii="仿宋_GB2312" w:eastAsia="仿宋_GB2312" w:cs="仿宋_GB2312" w:hint="eastAsia"/>
          <w:color w:val="000000"/>
          <w:kern w:val="0"/>
          <w:sz w:val="30"/>
          <w:szCs w:val="30"/>
          <w:shd w:val="clear" w:color="auto" w:fill="FFFFFF"/>
          <w:lang w:bidi="ar"/>
        </w:rPr>
        <w:t>的平方</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8</w:t>
      </w:r>
      <w:r>
        <w:rPr>
          <w:rFonts w:ascii="仿宋_GB2312" w:eastAsia="仿宋_GB2312" w:cs="仿宋_GB2312" w:hint="eastAsia"/>
          <w:color w:val="000000"/>
          <w:kern w:val="0"/>
          <w:sz w:val="30"/>
          <w:szCs w:val="30"/>
          <w:shd w:val="clear" w:color="auto" w:fill="FFFFFF"/>
          <w:lang w:bidi="ar"/>
        </w:rPr>
        <w:t>）计算曲度敏感度资本要求时，不同风险组之间的相关系数</w:t>
      </w:r>
      <w:r>
        <w:rPr>
          <w:position w:val="-12"/>
          <w:sz w:val="30"/>
          <w:szCs w:val="30"/>
        </w:rPr>
        <w:object w:dxaOrig="320" w:dyaOrig="320">
          <v:shape id="_x0000_i1195" type="#_x0000_t75" style="width:16.05pt;height:16.05pt" o:ole="">
            <v:imagedata r:id="rId18" o:title=""/>
          </v:shape>
          <o:OLEObject Type="Embed" ProgID="Equation.DSMT4" ShapeID="_x0000_i1195" DrawAspect="Content" ObjectID="_1765373762" r:id="rId268"/>
        </w:object>
      </w:r>
      <w:r>
        <w:rPr>
          <w:rFonts w:ascii="仿宋_GB2312" w:eastAsia="仿宋_GB2312" w:cs="仿宋_GB2312" w:hint="eastAsia"/>
          <w:color w:val="000000"/>
          <w:kern w:val="0"/>
          <w:sz w:val="30"/>
          <w:szCs w:val="30"/>
          <w:shd w:val="clear" w:color="auto" w:fill="FFFFFF"/>
          <w:lang w:bidi="ar"/>
        </w:rPr>
        <w:t>为对应的得尔塔相关系数</w:t>
      </w:r>
      <w:r>
        <w:rPr>
          <w:position w:val="-12"/>
          <w:sz w:val="30"/>
          <w:szCs w:val="30"/>
        </w:rPr>
        <w:object w:dxaOrig="320" w:dyaOrig="320">
          <v:shape id="_x0000_i1196" type="#_x0000_t75" style="width:16.05pt;height:16.05pt" o:ole="">
            <v:imagedata r:id="rId18" o:title=""/>
          </v:shape>
          <o:OLEObject Type="Embed" ProgID="Equation.DSMT4" ShapeID="_x0000_i1196" DrawAspect="Content" ObjectID="_1765373763" r:id="rId269"/>
        </w:object>
      </w:r>
      <w:r>
        <w:rPr>
          <w:rFonts w:ascii="仿宋_GB2312" w:eastAsia="仿宋_GB2312" w:cs="仿宋_GB2312" w:hint="eastAsia"/>
          <w:color w:val="000000"/>
          <w:kern w:val="0"/>
          <w:sz w:val="30"/>
          <w:szCs w:val="30"/>
          <w:shd w:val="clear" w:color="auto" w:fill="FFFFFF"/>
          <w:lang w:bidi="ar"/>
        </w:rPr>
        <w:t>的平方。</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（十）汇率风险</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风险因子</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）得尔塔风险因子是工具的计价货币及被报价货币与报表货币之间的汇率。</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经国家金融监督管理总局或其派出机构认可，商业银行可指定一种货币为基准货币，取代报表货币计量汇率风险。商业银行应向国家金融监督管理总局或其派出机构证明基准货币审慎反映了投资组合的风险水平，并且已考虑基准货币与报表货币的转换风险。</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因子是基于期权剩余期限确定的期权隐含波动率。期权的基础资产是货币对的汇率。期限为</w:t>
      </w:r>
      <w:r>
        <w:rPr>
          <w:rFonts w:ascii="仿宋_GB2312" w:eastAsia="仿宋_GB2312"/>
          <w:sz w:val="30"/>
          <w:szCs w:val="30"/>
        </w:rPr>
        <w:t>0.</w:t>
      </w:r>
      <w:r>
        <w:rPr>
          <w:rFonts w:ascii="仿宋_GB2312" w:eastAsia="仿宋_GB2312" w:hint="eastAsia"/>
          <w:sz w:val="30"/>
          <w:szCs w:val="30"/>
        </w:rPr>
        <w:t>5</w:t>
      </w:r>
      <w:r>
        <w:rPr>
          <w:rFonts w:ascii="仿宋_GB2312" w:eastAsia="仿宋_GB2312" w:hint="eastAsia"/>
          <w:sz w:val="30"/>
          <w:szCs w:val="30"/>
        </w:rPr>
        <w:t>年、</w:t>
      </w:r>
      <w:r>
        <w:rPr>
          <w:rFonts w:ascii="仿宋_GB2312" w:eastAsia="仿宋_GB2312" w:hint="eastAsia"/>
          <w:sz w:val="30"/>
          <w:szCs w:val="30"/>
        </w:rPr>
        <w:t>1</w:t>
      </w:r>
      <w:r>
        <w:rPr>
          <w:rFonts w:ascii="仿宋_GB2312" w:eastAsia="仿宋_GB2312" w:hint="eastAsia"/>
          <w:sz w:val="30"/>
          <w:szCs w:val="30"/>
        </w:rPr>
        <w:t>年、</w:t>
      </w:r>
      <w:r>
        <w:rPr>
          <w:rFonts w:ascii="仿宋_GB2312" w:eastAsia="仿宋_GB2312" w:hint="eastAsia"/>
          <w:sz w:val="30"/>
          <w:szCs w:val="30"/>
        </w:rPr>
        <w:t>3</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年和</w:t>
      </w:r>
      <w:r>
        <w:rPr>
          <w:rFonts w:ascii="仿宋_GB2312" w:eastAsia="仿宋_GB2312" w:hint="eastAsia"/>
          <w:sz w:val="30"/>
          <w:szCs w:val="30"/>
        </w:rPr>
        <w:t>10</w:t>
      </w:r>
      <w:r>
        <w:rPr>
          <w:rFonts w:ascii="仿宋_GB2312" w:eastAsia="仿宋_GB2312" w:hint="eastAsia"/>
          <w:sz w:val="30"/>
          <w:szCs w:val="30"/>
        </w:rPr>
        <w:t>年。</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）曲度风险因子是金融工具的计价货币及被报价货币与报表货币之间的汇率。</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经国家金融监督管理总局或其派出机构认可，商业银行可使用基准货币计算汇率得尔塔风</w:t>
      </w:r>
      <w:r>
        <w:rPr>
          <w:rFonts w:ascii="仿宋_GB2312" w:eastAsia="仿宋_GB2312" w:hint="eastAsia"/>
          <w:sz w:val="30"/>
          <w:szCs w:val="30"/>
        </w:rPr>
        <w:t>险的商业银行，应使用基准货币计算汇率曲度风险。</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）汇率风险因子无需区分在</w:t>
      </w:r>
      <w:proofErr w:type="gramStart"/>
      <w:r>
        <w:rPr>
          <w:rFonts w:ascii="仿宋_GB2312" w:eastAsia="仿宋_GB2312" w:cs="仿宋_GB2312" w:hint="eastAsia"/>
          <w:color w:val="000000"/>
          <w:kern w:val="0"/>
          <w:sz w:val="30"/>
          <w:szCs w:val="30"/>
          <w:shd w:val="clear" w:color="auto" w:fill="FFFFFF"/>
          <w:lang w:bidi="ar"/>
        </w:rPr>
        <w:t>岸货币</w:t>
      </w:r>
      <w:proofErr w:type="gramEnd"/>
      <w:r>
        <w:rPr>
          <w:rFonts w:ascii="仿宋_GB2312" w:eastAsia="仿宋_GB2312" w:cs="仿宋_GB2312" w:hint="eastAsia"/>
          <w:color w:val="000000"/>
          <w:kern w:val="0"/>
          <w:sz w:val="30"/>
          <w:szCs w:val="30"/>
          <w:shd w:val="clear" w:color="auto" w:fill="FFFFFF"/>
          <w:lang w:bidi="ar"/>
        </w:rPr>
        <w:t>和离岸货币。</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敏感度</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）得尔塔敏感度的计算方法为汇率变化</w:t>
      </w:r>
      <w:r>
        <w:rPr>
          <w:rFonts w:ascii="仿宋_GB2312" w:eastAsia="仿宋_GB2312" w:hint="eastAsia"/>
          <w:sz w:val="30"/>
          <w:szCs w:val="30"/>
        </w:rPr>
        <w:t>1</w:t>
      </w:r>
      <w:r>
        <w:rPr>
          <w:rFonts w:ascii="仿宋_GB2312" w:eastAsia="仿宋_GB2312" w:hint="eastAsia"/>
          <w:sz w:val="30"/>
          <w:szCs w:val="30"/>
        </w:rPr>
        <w:t>个百分点引起工具市场价值的变化量，再除以</w:t>
      </w:r>
      <w:r>
        <w:rPr>
          <w:rFonts w:ascii="仿宋_GB2312" w:eastAsia="仿宋_GB2312" w:hint="eastAsia"/>
          <w:sz w:val="30"/>
          <w:szCs w:val="30"/>
        </w:rPr>
        <w:t>0.01</w:t>
      </w:r>
      <w:r>
        <w:rPr>
          <w:rFonts w:ascii="仿宋_GB2312" w:eastAsia="仿宋_GB2312" w:hint="eastAsia"/>
          <w:sz w:val="30"/>
          <w:szCs w:val="30"/>
        </w:rPr>
        <w:t>。公式如下：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24"/>
          <w:sz w:val="30"/>
          <w:szCs w:val="30"/>
        </w:rPr>
        <w:object w:dxaOrig="3200" w:dyaOrig="760">
          <v:shape id="_x0000_i1197" type="#_x0000_t75" style="width:160.05pt;height:38.15pt" o:ole="">
            <v:imagedata r:id="rId270" o:title=""/>
          </v:shape>
          <o:OLEObject Type="Embed" ProgID="Equation.DSMT4" ShapeID="_x0000_i1197" DrawAspect="Content" ObjectID="_1765373764" r:id="rId271"/>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其中</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t>a.</w:t>
      </w:r>
      <w:proofErr w:type="gramEnd"/>
      <w:r>
        <w:rPr>
          <w:position w:val="-12"/>
          <w:sz w:val="30"/>
          <w:szCs w:val="30"/>
        </w:rPr>
        <w:object w:dxaOrig="547" w:dyaOrig="400">
          <v:shape id="_x0000_i1198" type="#_x0000_t75" style="width:27.45pt;height:19.95pt" o:ole="">
            <v:imagedata r:id="rId272" o:title=""/>
          </v:shape>
          <o:OLEObject Type="Embed" ProgID="Equation.DSMT4" ShapeID="_x0000_i1198" DrawAspect="Content" ObjectID="_1765373765" r:id="rId273"/>
        </w:object>
      </w:r>
      <w:r>
        <w:rPr>
          <w:rFonts w:ascii="仿宋_GB2312" w:eastAsia="仿宋_GB2312" w:hint="eastAsia"/>
          <w:sz w:val="30"/>
          <w:szCs w:val="30"/>
        </w:rPr>
        <w:t>是给定货币对报表货币或基准货币的汇率，该汇率为用报表货币或基准货币表示的每单位其他货币的市场价格。</w:t>
      </w:r>
    </w:p>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t>b.</w:t>
      </w:r>
      <w:proofErr w:type="gramEnd"/>
      <w:r>
        <w:rPr>
          <w:position w:val="-12"/>
          <w:sz w:val="30"/>
          <w:szCs w:val="30"/>
        </w:rPr>
        <w:object w:dxaOrig="280" w:dyaOrig="440">
          <v:shape id="_x0000_i1199" type="#_x0000_t75" style="width:13.9pt;height:22.1pt" o:ole="">
            <v:imagedata r:id="rId274" o:title=""/>
          </v:shape>
          <o:OLEObject Type="Embed" ProgID="Equation.DSMT4" ShapeID="_x0000_i1199" DrawAspect="Content" ObjectID="_1765373766" r:id="rId275"/>
        </w:object>
      </w:r>
      <w:r>
        <w:rPr>
          <w:rFonts w:ascii="仿宋_GB2312" w:eastAsia="仿宋_GB2312" w:hint="eastAsia"/>
          <w:sz w:val="30"/>
          <w:szCs w:val="30"/>
        </w:rPr>
        <w:t>是工具</w:t>
      </w:r>
      <w:r>
        <w:rPr>
          <w:rFonts w:ascii="仿宋_GB2312" w:eastAsia="仿宋_GB2312"/>
          <w:sz w:val="30"/>
          <w:szCs w:val="30"/>
        </w:rPr>
        <w:t>i</w:t>
      </w:r>
      <w:r>
        <w:rPr>
          <w:rFonts w:ascii="仿宋_GB2312" w:eastAsia="仿宋_GB2312" w:hint="eastAsia"/>
          <w:sz w:val="30"/>
          <w:szCs w:val="30"/>
        </w:rPr>
        <w:t>的市场价值，是货币</w:t>
      </w:r>
      <w:r>
        <w:rPr>
          <w:rFonts w:ascii="仿宋_GB2312" w:eastAsia="仿宋_GB2312" w:hint="eastAsia"/>
          <w:sz w:val="30"/>
          <w:szCs w:val="30"/>
        </w:rPr>
        <w:t>k</w:t>
      </w:r>
      <w:r>
        <w:rPr>
          <w:rFonts w:ascii="仿宋_GB2312" w:eastAsia="仿宋_GB2312" w:hint="eastAsia"/>
          <w:sz w:val="30"/>
          <w:szCs w:val="30"/>
        </w:rPr>
        <w:t>汇率的函数。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维伽敏感度</w:t>
      </w:r>
      <w:proofErr w:type="gramEnd"/>
      <w:r>
        <w:rPr>
          <w:rFonts w:ascii="仿宋_GB2312" w:eastAsia="仿宋_GB2312" w:cs="仿宋_GB2312" w:hint="eastAsia"/>
          <w:color w:val="000000"/>
          <w:kern w:val="0"/>
          <w:sz w:val="30"/>
          <w:szCs w:val="30"/>
          <w:shd w:val="clear" w:color="auto" w:fill="FFFFFF"/>
          <w:lang w:bidi="ar"/>
        </w:rPr>
        <w:t>的计算详见</w:t>
      </w:r>
      <w:r>
        <w:rPr>
          <w:rFonts w:ascii="仿宋_GB2312" w:eastAsia="仿宋_GB2312" w:hint="eastAsia"/>
          <w:sz w:val="30"/>
          <w:szCs w:val="30"/>
        </w:rPr>
        <w:t>本附件第二部分（四）</w:t>
      </w:r>
      <w:r>
        <w:rPr>
          <w:rFonts w:ascii="仿宋_GB2312" w:eastAsia="仿宋_GB2312"/>
          <w:sz w:val="30"/>
          <w:szCs w:val="30"/>
        </w:rPr>
        <w:t>2</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cs="仿宋_GB2312" w:hint="eastAsia"/>
          <w:color w:val="000000"/>
          <w:kern w:val="0"/>
          <w:sz w:val="30"/>
          <w:szCs w:val="30"/>
          <w:shd w:val="clear" w:color="auto" w:fill="FFFFFF"/>
          <w:lang w:bidi="ar"/>
        </w:rPr>
        <w:t>曲度敏感度的计算详见本附件第二部分（二）。</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3</w:t>
      </w:r>
      <w:r>
        <w:rPr>
          <w:rFonts w:ascii="仿宋_GB2312" w:eastAsia="仿宋_GB2312" w:hAnsi="黑体" w:hint="eastAsia"/>
          <w:bCs/>
          <w:sz w:val="30"/>
          <w:szCs w:val="30"/>
        </w:rPr>
        <w:t>.</w:t>
      </w:r>
      <w:r>
        <w:rPr>
          <w:rFonts w:ascii="仿宋_GB2312" w:eastAsia="仿宋_GB2312" w:hAnsi="黑体"/>
          <w:bCs/>
          <w:sz w:val="30"/>
          <w:szCs w:val="30"/>
        </w:rPr>
        <w:t>风险组、风险权重、相关系数</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）汇率风险组以计价货币</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报表货币及被报价货币</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报表货币的汇率区分。其中，对于</w:t>
      </w:r>
      <w:proofErr w:type="gramStart"/>
      <w:r>
        <w:rPr>
          <w:rFonts w:ascii="仿宋_GB2312" w:eastAsia="仿宋_GB2312" w:cs="仿宋_GB2312" w:hint="eastAsia"/>
          <w:color w:val="000000"/>
          <w:kern w:val="0"/>
          <w:sz w:val="30"/>
          <w:szCs w:val="30"/>
          <w:shd w:val="clear" w:color="auto" w:fill="FFFFFF"/>
          <w:lang w:bidi="ar"/>
        </w:rPr>
        <w:t>维伽风险组</w:t>
      </w:r>
      <w:proofErr w:type="gramEnd"/>
      <w:r>
        <w:rPr>
          <w:rFonts w:ascii="仿宋_GB2312" w:eastAsia="仿宋_GB2312" w:cs="仿宋_GB2312" w:hint="eastAsia"/>
          <w:color w:val="000000"/>
          <w:kern w:val="0"/>
          <w:sz w:val="30"/>
          <w:szCs w:val="30"/>
          <w:shd w:val="clear" w:color="auto" w:fill="FFFFFF"/>
          <w:lang w:bidi="ar"/>
        </w:rPr>
        <w:t>，因波动</w:t>
      </w:r>
      <w:proofErr w:type="gramStart"/>
      <w:r>
        <w:rPr>
          <w:rFonts w:ascii="仿宋_GB2312" w:eastAsia="仿宋_GB2312" w:cs="仿宋_GB2312" w:hint="eastAsia"/>
          <w:color w:val="000000"/>
          <w:kern w:val="0"/>
          <w:sz w:val="30"/>
          <w:szCs w:val="30"/>
          <w:shd w:val="clear" w:color="auto" w:fill="FFFFFF"/>
          <w:lang w:bidi="ar"/>
        </w:rPr>
        <w:t>率无法</w:t>
      </w:r>
      <w:proofErr w:type="gramEnd"/>
      <w:r>
        <w:rPr>
          <w:rFonts w:ascii="仿宋_GB2312" w:eastAsia="仿宋_GB2312" w:cs="仿宋_GB2312" w:hint="eastAsia"/>
          <w:color w:val="000000"/>
          <w:kern w:val="0"/>
          <w:sz w:val="30"/>
          <w:szCs w:val="30"/>
          <w:shd w:val="clear" w:color="auto" w:fill="FFFFFF"/>
          <w:lang w:bidi="ar"/>
        </w:rPr>
        <w:t>拆分成计价或被报价货币</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报表货币的波动率，以交易标的货币对区分。</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）汇率</w:t>
      </w:r>
      <w:r>
        <w:rPr>
          <w:rFonts w:ascii="仿宋_GB2312" w:eastAsia="仿宋_GB2312" w:hint="eastAsia"/>
          <w:sz w:val="30"/>
          <w:szCs w:val="30"/>
        </w:rPr>
        <w:t>风险</w:t>
      </w:r>
      <w:r>
        <w:rPr>
          <w:rFonts w:ascii="仿宋_GB2312" w:eastAsia="仿宋_GB2312" w:cs="仿宋_GB2312" w:hint="eastAsia"/>
          <w:color w:val="000000"/>
          <w:kern w:val="0"/>
          <w:sz w:val="30"/>
          <w:szCs w:val="30"/>
          <w:shd w:val="clear" w:color="auto" w:fill="FFFFFF"/>
          <w:lang w:bidi="ar"/>
        </w:rPr>
        <w:t>得尔塔敏感度的风险权重为</w:t>
      </w:r>
      <w:r>
        <w:rPr>
          <w:rFonts w:ascii="仿宋_GB2312" w:eastAsia="仿宋_GB2312" w:cs="仿宋_GB2312" w:hint="eastAsia"/>
          <w:color w:val="000000"/>
          <w:kern w:val="0"/>
          <w:sz w:val="30"/>
          <w:szCs w:val="30"/>
          <w:shd w:val="clear" w:color="auto" w:fill="FFFFFF"/>
          <w:lang w:bidi="ar"/>
        </w:rPr>
        <w:t>15%</w:t>
      </w:r>
      <w:r>
        <w:rPr>
          <w:rFonts w:ascii="仿宋_GB2312" w:eastAsia="仿宋_GB2312" w:cs="仿宋_GB2312" w:hint="eastAsia"/>
          <w:color w:val="000000"/>
          <w:kern w:val="0"/>
          <w:sz w:val="30"/>
          <w:szCs w:val="30"/>
          <w:shd w:val="clear" w:color="auto" w:fill="FFFFFF"/>
          <w:lang w:bidi="ar"/>
        </w:rPr>
        <w:t>。对于美元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欧元、美元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日元、美元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英镑、美元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澳大利亚元、美元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加拿大元、美元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瑞士法郎、美元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墨西哥元、美元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人民币、美元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新西兰元、美元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卢布、美元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港元、美元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新加坡元、美元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新土耳其里拉、美元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韩元、美元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瑞典克朗、美元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南非兰特、美元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印度卢比、美元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挪威克朗、美元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巴西雷亚尔</w:t>
      </w:r>
      <w:bookmarkStart w:id="13" w:name="_Hlk90299320"/>
      <w:r>
        <w:rPr>
          <w:rFonts w:ascii="仿宋_GB2312" w:eastAsia="仿宋_GB2312" w:cs="仿宋_GB2312" w:hint="eastAsia"/>
          <w:color w:val="000000"/>
          <w:kern w:val="0"/>
          <w:sz w:val="30"/>
          <w:szCs w:val="30"/>
          <w:shd w:val="clear" w:color="auto" w:fill="FFFFFF"/>
          <w:lang w:bidi="ar"/>
        </w:rPr>
        <w:t>、欧元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日元、欧元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英镑、欧元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瑞士法郎、日元</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澳元及以上货币对</w:t>
      </w:r>
      <w:bookmarkEnd w:id="13"/>
      <w:r>
        <w:rPr>
          <w:rFonts w:ascii="仿宋_GB2312" w:eastAsia="仿宋_GB2312" w:cs="仿宋_GB2312" w:hint="eastAsia"/>
          <w:color w:val="000000"/>
          <w:kern w:val="0"/>
          <w:sz w:val="30"/>
          <w:szCs w:val="30"/>
          <w:shd w:val="clear" w:color="auto" w:fill="FFFFFF"/>
          <w:lang w:bidi="ar"/>
        </w:rPr>
        <w:t>的一阶交叉货币对，</w:t>
      </w:r>
      <w:r>
        <w:rPr>
          <w:rFonts w:ascii="仿宋_GB2312" w:eastAsia="仿宋_GB2312" w:cs="仿宋_GB2312" w:hint="eastAsia"/>
          <w:color w:val="000000"/>
          <w:kern w:val="0"/>
          <w:sz w:val="30"/>
          <w:szCs w:val="30"/>
          <w:shd w:val="clear" w:color="auto" w:fill="FFFFFF"/>
          <w:lang w:bidi="ar"/>
        </w:rPr>
        <w:lastRenderedPageBreak/>
        <w:t>商业银行可以</w:t>
      </w:r>
      <w:r>
        <w:rPr>
          <w:rFonts w:ascii="仿宋_GB2312" w:eastAsia="仿宋_GB2312" w:cs="仿宋_GB2312" w:hint="eastAsia"/>
          <w:color w:val="000000"/>
          <w:kern w:val="0"/>
          <w:sz w:val="30"/>
          <w:szCs w:val="30"/>
          <w:shd w:val="clear" w:color="auto" w:fill="FFFFFF"/>
          <w:lang w:bidi="ar"/>
        </w:rPr>
        <w:t>15%</w:t>
      </w:r>
      <w:r>
        <w:rPr>
          <w:rFonts w:ascii="仿宋_GB2312" w:eastAsia="仿宋_GB2312" w:cs="仿宋_GB2312" w:hint="eastAsia"/>
          <w:color w:val="000000"/>
          <w:kern w:val="0"/>
          <w:sz w:val="30"/>
          <w:szCs w:val="30"/>
          <w:shd w:val="clear" w:color="auto" w:fill="FFFFFF"/>
          <w:lang w:bidi="ar"/>
        </w:rPr>
        <w:t>除以</w:t>
      </w:r>
      <m:oMath>
        <m:rad>
          <m:radPr>
            <m:degHide m:val="1"/>
            <m:ctrlPr>
              <w:rPr>
                <w:rFonts w:ascii="Cambria Math" w:eastAsia="仿宋_GB2312" w:hAnsi="Cambria Math" w:cs="仿宋_GB2312" w:hint="eastAsia"/>
                <w:color w:val="000000"/>
                <w:kern w:val="0"/>
                <w:sz w:val="30"/>
                <w:szCs w:val="30"/>
                <w:shd w:val="clear" w:color="auto" w:fill="FFFFFF"/>
                <w:lang w:bidi="ar"/>
              </w:rPr>
            </m:ctrlPr>
          </m:radPr>
          <m:deg/>
          <m:e>
            <m:r>
              <w:rPr>
                <w:rFonts w:ascii="Cambria Math" w:eastAsia="仿宋_GB2312" w:hAnsi="Cambria Math" w:cs="仿宋_GB2312"/>
                <w:color w:val="000000"/>
                <w:kern w:val="0"/>
                <w:sz w:val="30"/>
                <w:szCs w:val="30"/>
                <w:shd w:val="clear" w:color="auto" w:fill="FFFFFF"/>
                <w:lang w:bidi="ar"/>
              </w:rPr>
              <m:t>2</m:t>
            </m:r>
          </m:e>
        </m:rad>
      </m:oMath>
      <w:r>
        <w:rPr>
          <w:rFonts w:ascii="仿宋_GB2312" w:eastAsia="仿宋_GB2312" w:cs="仿宋_GB2312" w:hint="eastAsia"/>
          <w:color w:val="000000"/>
          <w:kern w:val="0"/>
          <w:sz w:val="30"/>
          <w:szCs w:val="30"/>
          <w:shd w:val="clear" w:color="auto" w:fill="FFFFFF"/>
          <w:lang w:bidi="ar"/>
        </w:rPr>
        <w:t>作为风险权重。</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）计算得尔塔敏感度</w:t>
      </w:r>
      <w:proofErr w:type="gramStart"/>
      <w:r>
        <w:rPr>
          <w:rFonts w:ascii="仿宋_GB2312" w:eastAsia="仿宋_GB2312" w:cs="仿宋_GB2312" w:hint="eastAsia"/>
          <w:color w:val="000000"/>
          <w:kern w:val="0"/>
          <w:sz w:val="30"/>
          <w:szCs w:val="30"/>
          <w:shd w:val="clear" w:color="auto" w:fill="FFFFFF"/>
          <w:lang w:bidi="ar"/>
        </w:rPr>
        <w:t>和维伽</w:t>
      </w:r>
      <w:r>
        <w:rPr>
          <w:rFonts w:ascii="仿宋_GB2312" w:eastAsia="仿宋_GB2312" w:hint="eastAsia"/>
          <w:sz w:val="30"/>
          <w:szCs w:val="30"/>
        </w:rPr>
        <w:t>敏感度</w:t>
      </w:r>
      <w:proofErr w:type="gramEnd"/>
      <w:r>
        <w:rPr>
          <w:rFonts w:ascii="仿宋_GB2312" w:eastAsia="仿宋_GB2312" w:hint="eastAsia"/>
          <w:sz w:val="30"/>
          <w:szCs w:val="30"/>
        </w:rPr>
        <w:t>资本要求</w:t>
      </w:r>
      <w:r>
        <w:rPr>
          <w:rFonts w:ascii="仿宋_GB2312" w:eastAsia="仿宋_GB2312" w:cs="仿宋_GB2312" w:hint="eastAsia"/>
          <w:color w:val="000000"/>
          <w:kern w:val="0"/>
          <w:sz w:val="30"/>
          <w:szCs w:val="30"/>
          <w:shd w:val="clear" w:color="auto" w:fill="FFFFFF"/>
          <w:lang w:bidi="ar"/>
        </w:rPr>
        <w:t>时，不同风险组之间的相关系数</w:t>
      </w:r>
      <w:r>
        <w:rPr>
          <w:position w:val="-12"/>
          <w:sz w:val="30"/>
          <w:szCs w:val="30"/>
        </w:rPr>
        <w:object w:dxaOrig="320" w:dyaOrig="320">
          <v:shape id="_x0000_i1200" type="#_x0000_t75" style="width:16.05pt;height:16.05pt" o:ole="">
            <v:imagedata r:id="rId18" o:title=""/>
          </v:shape>
          <o:OLEObject Type="Embed" ProgID="Equation.DSMT4" ShapeID="_x0000_i1200" DrawAspect="Content" ObjectID="_1765373767" r:id="rId276"/>
        </w:object>
      </w:r>
      <w:r>
        <w:rPr>
          <w:rFonts w:ascii="仿宋_GB2312" w:eastAsia="仿宋_GB2312" w:cs="仿宋_GB2312" w:hint="eastAsia"/>
          <w:color w:val="000000"/>
          <w:kern w:val="0"/>
          <w:sz w:val="30"/>
          <w:szCs w:val="30"/>
          <w:shd w:val="clear" w:color="auto" w:fill="FFFFFF"/>
          <w:lang w:bidi="ar"/>
        </w:rPr>
        <w:t>为</w:t>
      </w:r>
      <w:r>
        <w:rPr>
          <w:rFonts w:ascii="仿宋_GB2312" w:eastAsia="仿宋_GB2312" w:cs="仿宋_GB2312" w:hint="eastAsia"/>
          <w:color w:val="000000"/>
          <w:kern w:val="0"/>
          <w:sz w:val="30"/>
          <w:szCs w:val="30"/>
          <w:shd w:val="clear" w:color="auto" w:fill="FFFFFF"/>
          <w:lang w:bidi="ar"/>
        </w:rPr>
        <w:t>60%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维伽</w:t>
      </w:r>
      <w:r>
        <w:rPr>
          <w:rFonts w:ascii="仿宋_GB2312" w:eastAsia="仿宋_GB2312" w:hint="eastAsia"/>
          <w:sz w:val="30"/>
          <w:szCs w:val="30"/>
        </w:rPr>
        <w:t>敏感度</w:t>
      </w:r>
      <w:proofErr w:type="gramEnd"/>
      <w:r>
        <w:rPr>
          <w:rFonts w:ascii="仿宋_GB2312" w:eastAsia="仿宋_GB2312" w:hint="eastAsia"/>
          <w:sz w:val="30"/>
          <w:szCs w:val="30"/>
        </w:rPr>
        <w:t>的</w:t>
      </w:r>
      <w:r>
        <w:rPr>
          <w:rFonts w:ascii="仿宋_GB2312" w:eastAsia="仿宋_GB2312" w:cs="仿宋_GB2312" w:hint="eastAsia"/>
          <w:color w:val="000000"/>
          <w:kern w:val="0"/>
          <w:sz w:val="30"/>
          <w:szCs w:val="30"/>
          <w:shd w:val="clear" w:color="auto" w:fill="FFFFFF"/>
          <w:lang w:bidi="ar"/>
        </w:rPr>
        <w:t>风险权重为</w:t>
      </w:r>
      <w:r>
        <w:rPr>
          <w:rFonts w:ascii="仿宋_GB2312" w:eastAsia="仿宋_GB2312" w:cs="仿宋_GB2312" w:hint="eastAsia"/>
          <w:color w:val="000000"/>
          <w:kern w:val="0"/>
          <w:sz w:val="30"/>
          <w:szCs w:val="30"/>
          <w:shd w:val="clear" w:color="auto" w:fill="FFFFFF"/>
          <w:lang w:bidi="ar"/>
        </w:rPr>
        <w:t>100%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计算维伽敏感度</w:t>
      </w:r>
      <w:proofErr w:type="gramEnd"/>
      <w:r>
        <w:rPr>
          <w:rFonts w:ascii="仿宋_GB2312" w:eastAsia="仿宋_GB2312" w:cs="仿宋_GB2312" w:hint="eastAsia"/>
          <w:color w:val="000000"/>
          <w:kern w:val="0"/>
          <w:sz w:val="30"/>
          <w:szCs w:val="30"/>
          <w:shd w:val="clear" w:color="auto" w:fill="FFFFFF"/>
          <w:lang w:bidi="ar"/>
        </w:rPr>
        <w:t>风险头寸时，同一个风险组内的相关系数</w:t>
      </w:r>
      <w:r>
        <w:rPr>
          <w:position w:val="-14"/>
          <w:sz w:val="30"/>
          <w:szCs w:val="30"/>
        </w:rPr>
        <w:object w:dxaOrig="387" w:dyaOrig="387">
          <v:shape id="_x0000_i1201" type="#_x0000_t75" style="width:19.25pt;height:19.25pt" o:ole="">
            <v:imagedata r:id="rId59" o:title=""/>
          </v:shape>
          <o:OLEObject Type="Embed" ProgID="Equation.DSMT4" ShapeID="_x0000_i1201" DrawAspect="Content" ObjectID="_1765373768" r:id="rId277"/>
        </w:object>
      </w:r>
      <w:r>
        <w:rPr>
          <w:rFonts w:ascii="仿宋_GB2312" w:eastAsia="仿宋_GB2312" w:hint="eastAsia"/>
          <w:sz w:val="30"/>
          <w:szCs w:val="30"/>
        </w:rPr>
        <w:t>计算公式详见本附件第二部分（五）</w:t>
      </w:r>
      <w:r>
        <w:rPr>
          <w:rFonts w:ascii="仿宋_GB2312" w:eastAsia="仿宋_GB2312"/>
          <w:sz w:val="30"/>
          <w:szCs w:val="30"/>
        </w:rPr>
        <w:t>3</w:t>
      </w:r>
      <w:r>
        <w:rPr>
          <w:rFonts w:ascii="仿宋_GB2312" w:eastAsia="仿宋_GB2312" w:hint="eastAsia"/>
          <w:sz w:val="30"/>
          <w:szCs w:val="30"/>
        </w:rPr>
        <w:t>。其中，</w:t>
      </w:r>
      <w:r>
        <w:rPr>
          <w:position w:val="-12"/>
          <w:sz w:val="30"/>
          <w:szCs w:val="30"/>
        </w:rPr>
        <w:object w:dxaOrig="893" w:dyaOrig="453">
          <v:shape id="_x0000_i1202" type="#_x0000_t75" style="width:44.55pt;height:22.8pt" o:ole="">
            <v:imagedata r:id="rId278" o:title=""/>
          </v:shape>
          <o:OLEObject Type="Embed" ProgID="Equation.DSMT4" ShapeID="_x0000_i1202" DrawAspect="Content" ObjectID="_1765373769" r:id="rId279"/>
        </w:object>
      </w:r>
      <w:r>
        <w:rPr>
          <w:rFonts w:ascii="仿宋_GB2312" w:eastAsia="仿宋_GB2312" w:hint="eastAsia"/>
          <w:sz w:val="30"/>
          <w:szCs w:val="30"/>
        </w:rPr>
        <w:t>是</w:t>
      </w:r>
      <w:proofErr w:type="gramStart"/>
      <w:r>
        <w:rPr>
          <w:rFonts w:ascii="仿宋_GB2312" w:eastAsia="仿宋_GB2312" w:hint="eastAsia"/>
          <w:sz w:val="30"/>
          <w:szCs w:val="30"/>
        </w:rPr>
        <w:t>维伽风险</w:t>
      </w:r>
      <w:proofErr w:type="gramEnd"/>
      <w:r>
        <w:rPr>
          <w:rFonts w:ascii="仿宋_GB2312" w:eastAsia="仿宋_GB2312" w:hint="eastAsia"/>
          <w:sz w:val="30"/>
          <w:szCs w:val="30"/>
        </w:rPr>
        <w:t>因子对应的得尔塔风险因子相关系数。</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）曲度敏感度风险权重是给定风险因子的冲击幅度，等于相应的得尔塔风险权重。如果期权的标的资产不包含商业银行的报表货币或基准货币，曲度敏感度风险资本要求可用原值除以</w:t>
      </w:r>
      <w:r>
        <w:rPr>
          <w:rFonts w:ascii="仿宋_GB2312" w:eastAsia="仿宋_GB2312" w:cs="仿宋_GB2312" w:hint="eastAsia"/>
          <w:color w:val="000000"/>
          <w:kern w:val="0"/>
          <w:sz w:val="30"/>
          <w:szCs w:val="30"/>
          <w:shd w:val="clear" w:color="auto" w:fill="FFFFFF"/>
          <w:lang w:bidi="ar"/>
        </w:rPr>
        <w:t>1.5</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7</w:t>
      </w:r>
      <w:r>
        <w:rPr>
          <w:rFonts w:ascii="仿宋_GB2312" w:eastAsia="仿宋_GB2312" w:cs="仿宋_GB2312" w:hint="eastAsia"/>
          <w:color w:val="000000"/>
          <w:kern w:val="0"/>
          <w:sz w:val="30"/>
          <w:szCs w:val="30"/>
          <w:shd w:val="clear" w:color="auto" w:fill="FFFFFF"/>
          <w:lang w:bidi="ar"/>
        </w:rPr>
        <w:t>）计算曲度敏感度资本要求时，不同风险组之间的相关系数</w:t>
      </w:r>
      <w:r>
        <w:rPr>
          <w:position w:val="-12"/>
          <w:sz w:val="30"/>
          <w:szCs w:val="30"/>
        </w:rPr>
        <w:object w:dxaOrig="320" w:dyaOrig="320">
          <v:shape id="_x0000_i1203" type="#_x0000_t75" style="width:16.05pt;height:16.05pt" o:ole="">
            <v:imagedata r:id="rId18" o:title=""/>
          </v:shape>
          <o:OLEObject Type="Embed" ProgID="Equation.DSMT4" ShapeID="_x0000_i1203" DrawAspect="Content" ObjectID="_1765373770" r:id="rId280"/>
        </w:object>
      </w:r>
      <w:r>
        <w:rPr>
          <w:rFonts w:ascii="仿宋_GB2312" w:eastAsia="仿宋_GB2312" w:cs="仿宋_GB2312" w:hint="eastAsia"/>
          <w:color w:val="000000"/>
          <w:kern w:val="0"/>
          <w:sz w:val="30"/>
          <w:szCs w:val="30"/>
          <w:shd w:val="clear" w:color="auto" w:fill="FFFFFF"/>
          <w:lang w:bidi="ar"/>
        </w:rPr>
        <w:t>为对应的得尔塔相关系数</w:t>
      </w:r>
      <w:r>
        <w:rPr>
          <w:position w:val="-12"/>
          <w:sz w:val="30"/>
          <w:szCs w:val="30"/>
        </w:rPr>
        <w:object w:dxaOrig="320" w:dyaOrig="320">
          <v:shape id="_x0000_i1204" type="#_x0000_t75" style="width:16.05pt;height:16.05pt" o:ole="">
            <v:imagedata r:id="rId18" o:title=""/>
          </v:shape>
          <o:OLEObject Type="Embed" ProgID="Equation.DSMT4" ShapeID="_x0000_i1204" DrawAspect="Content" ObjectID="_1765373771" r:id="rId281"/>
        </w:object>
      </w:r>
      <w:r>
        <w:rPr>
          <w:rFonts w:ascii="仿宋_GB2312" w:eastAsia="仿宋_GB2312" w:cs="仿宋_GB2312" w:hint="eastAsia"/>
          <w:color w:val="000000"/>
          <w:kern w:val="0"/>
          <w:sz w:val="30"/>
          <w:szCs w:val="30"/>
          <w:shd w:val="clear" w:color="auto" w:fill="FFFFFF"/>
          <w:lang w:bidi="ar"/>
        </w:rPr>
        <w:t>的平方。</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4</w:t>
      </w:r>
      <w:r>
        <w:rPr>
          <w:rFonts w:ascii="仿宋_GB2312" w:eastAsia="仿宋_GB2312" w:hAnsi="黑体" w:hint="eastAsia"/>
          <w:bCs/>
          <w:sz w:val="30"/>
          <w:szCs w:val="30"/>
        </w:rPr>
        <w:t>.</w:t>
      </w:r>
      <w:r>
        <w:rPr>
          <w:rFonts w:ascii="仿宋_GB2312" w:eastAsia="仿宋_GB2312" w:hAnsi="黑体"/>
          <w:bCs/>
          <w:sz w:val="30"/>
          <w:szCs w:val="30"/>
        </w:rPr>
        <w:t>结构性外汇头寸</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商业银行在计提汇率风险资本时可扣除结构性外汇头寸，扣除</w:t>
      </w:r>
      <w:proofErr w:type="gramStart"/>
      <w:r>
        <w:rPr>
          <w:rFonts w:ascii="仿宋_GB2312" w:eastAsia="仿宋_GB2312" w:cs="仿宋_GB2312" w:hint="eastAsia"/>
          <w:color w:val="000000"/>
          <w:kern w:val="0"/>
          <w:sz w:val="30"/>
          <w:szCs w:val="30"/>
          <w:shd w:val="clear" w:color="auto" w:fill="FFFFFF"/>
          <w:lang w:bidi="ar"/>
        </w:rPr>
        <w:t>项同时</w:t>
      </w:r>
      <w:proofErr w:type="gramEnd"/>
      <w:r>
        <w:rPr>
          <w:rFonts w:ascii="仿宋_GB2312" w:eastAsia="仿宋_GB2312" w:cs="仿宋_GB2312" w:hint="eastAsia"/>
          <w:color w:val="000000"/>
          <w:kern w:val="0"/>
          <w:sz w:val="30"/>
          <w:szCs w:val="30"/>
          <w:shd w:val="clear" w:color="auto" w:fill="FFFFFF"/>
          <w:lang w:bidi="ar"/>
        </w:rPr>
        <w:t>适用于内部模型法和简化标准法。商业银行应为结构性外汇头寸制定风险管理政策并报送国家金融监督管理总局或其派出机构，书面记录不计</w:t>
      </w:r>
      <w:proofErr w:type="gramStart"/>
      <w:r>
        <w:rPr>
          <w:rFonts w:ascii="仿宋_GB2312" w:eastAsia="仿宋_GB2312" w:cs="仿宋_GB2312" w:hint="eastAsia"/>
          <w:color w:val="000000"/>
          <w:kern w:val="0"/>
          <w:sz w:val="30"/>
          <w:szCs w:val="30"/>
          <w:shd w:val="clear" w:color="auto" w:fill="FFFFFF"/>
          <w:lang w:bidi="ar"/>
        </w:rPr>
        <w:t>提资本</w:t>
      </w:r>
      <w:proofErr w:type="gramEnd"/>
      <w:r>
        <w:rPr>
          <w:rFonts w:ascii="仿宋_GB2312" w:eastAsia="仿宋_GB2312" w:cs="仿宋_GB2312" w:hint="eastAsia"/>
          <w:color w:val="000000"/>
          <w:kern w:val="0"/>
          <w:sz w:val="30"/>
          <w:szCs w:val="30"/>
          <w:shd w:val="clear" w:color="auto" w:fill="FFFFFF"/>
          <w:lang w:bidi="ar"/>
        </w:rPr>
        <w:t>要求的头寸金额以备审查。结构性外汇头寸存续期内资本要求的处理应保持一致，扣除期限至少为</w:t>
      </w:r>
      <w:r>
        <w:rPr>
          <w:rFonts w:ascii="仿宋_GB2312" w:eastAsia="仿宋_GB2312" w:cs="仿宋_GB2312" w:hint="eastAsia"/>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个月。</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结构性外汇头寸可来自以下事项：</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）对以外币计价的非并表关联企业的投资。</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）对以外币计价的并表子公司或分支机构的投资。</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）其他符合结构性外汇头寸定义的外汇头寸。</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（十一）复杂工具的计量</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hint="eastAsia"/>
          <w:bCs/>
          <w:sz w:val="30"/>
          <w:szCs w:val="30"/>
        </w:rPr>
        <w:t>指数</w:t>
      </w:r>
      <w:proofErr w:type="gramStart"/>
      <w:r>
        <w:rPr>
          <w:rFonts w:ascii="仿宋_GB2312" w:eastAsia="仿宋_GB2312" w:hAnsi="黑体" w:hint="eastAsia"/>
          <w:bCs/>
          <w:sz w:val="30"/>
          <w:szCs w:val="30"/>
        </w:rPr>
        <w:t>型工具</w:t>
      </w:r>
      <w:proofErr w:type="gramEnd"/>
      <w:r>
        <w:rPr>
          <w:rFonts w:ascii="仿宋_GB2312" w:eastAsia="仿宋_GB2312" w:hAnsi="黑体" w:hint="eastAsia"/>
          <w:bCs/>
          <w:sz w:val="30"/>
          <w:szCs w:val="30"/>
        </w:rPr>
        <w:t>和多标的期权的计</w:t>
      </w:r>
      <w:r>
        <w:rPr>
          <w:rFonts w:ascii="仿宋_GB2312" w:eastAsia="仿宋_GB2312" w:hAnsi="黑体" w:hint="eastAsia"/>
          <w:bCs/>
          <w:sz w:val="30"/>
          <w:szCs w:val="30"/>
        </w:rPr>
        <w:t>量</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lastRenderedPageBreak/>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）对于指数</w:t>
      </w:r>
      <w:proofErr w:type="gramStart"/>
      <w:r>
        <w:rPr>
          <w:rFonts w:ascii="仿宋_GB2312" w:eastAsia="仿宋_GB2312" w:cs="仿宋_GB2312" w:hint="eastAsia"/>
          <w:color w:val="000000"/>
          <w:kern w:val="0"/>
          <w:sz w:val="30"/>
          <w:szCs w:val="30"/>
          <w:shd w:val="clear" w:color="auto" w:fill="FFFFFF"/>
          <w:lang w:bidi="ar"/>
        </w:rPr>
        <w:t>型工具</w:t>
      </w:r>
      <w:proofErr w:type="gramEnd"/>
      <w:r>
        <w:rPr>
          <w:rFonts w:ascii="仿宋_GB2312" w:eastAsia="仿宋_GB2312" w:cs="仿宋_GB2312" w:hint="eastAsia"/>
          <w:color w:val="000000"/>
          <w:kern w:val="0"/>
          <w:sz w:val="30"/>
          <w:szCs w:val="30"/>
          <w:shd w:val="clear" w:color="auto" w:fill="FFFFFF"/>
          <w:lang w:bidi="ar"/>
        </w:rPr>
        <w:t>和多标的期权，商业银行计算得尔塔敏感度和曲度敏感度时应使用穿透法。除相关性交易组合以外的指数</w:t>
      </w:r>
      <w:proofErr w:type="gramStart"/>
      <w:r>
        <w:rPr>
          <w:rFonts w:ascii="仿宋_GB2312" w:eastAsia="仿宋_GB2312" w:cs="仿宋_GB2312" w:hint="eastAsia"/>
          <w:color w:val="000000"/>
          <w:kern w:val="0"/>
          <w:sz w:val="30"/>
          <w:szCs w:val="30"/>
          <w:shd w:val="clear" w:color="auto" w:fill="FFFFFF"/>
          <w:lang w:bidi="ar"/>
        </w:rPr>
        <w:t>型工具</w:t>
      </w:r>
      <w:proofErr w:type="gramEnd"/>
      <w:r>
        <w:rPr>
          <w:rFonts w:ascii="仿宋_GB2312" w:eastAsia="仿宋_GB2312" w:cs="仿宋_GB2312" w:hint="eastAsia"/>
          <w:color w:val="000000"/>
          <w:kern w:val="0"/>
          <w:sz w:val="30"/>
          <w:szCs w:val="30"/>
          <w:shd w:val="clear" w:color="auto" w:fill="FFFFFF"/>
          <w:lang w:bidi="ar"/>
        </w:rPr>
        <w:t>和多标的期权的成份风险因子的敏感度，可与单名工具的风险因子敏感度净额轧差计算。相关性交易组合不能被拆解，也不适用上述净额轧差计算方法。</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若工具与市场</w:t>
      </w:r>
      <w:proofErr w:type="gramEnd"/>
      <w:r>
        <w:rPr>
          <w:rFonts w:ascii="仿宋_GB2312" w:eastAsia="仿宋_GB2312" w:cs="仿宋_GB2312" w:hint="eastAsia"/>
          <w:color w:val="000000"/>
          <w:kern w:val="0"/>
          <w:sz w:val="30"/>
          <w:szCs w:val="30"/>
          <w:shd w:val="clear" w:color="auto" w:fill="FFFFFF"/>
          <w:lang w:bidi="ar"/>
        </w:rPr>
        <w:t>广泛认可的股票或信用指数挂钩，商业银行在计算得尔塔敏感度和曲度敏感度时可以采用非穿透法，但应同时满足以下条件：</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指数具备穿透的条件（例如可获取成份和权重</w:t>
      </w:r>
      <w:r>
        <w:rPr>
          <w:rFonts w:ascii="仿宋_GB2312" w:eastAsia="仿宋_GB2312" w:hint="eastAsia"/>
          <w:sz w:val="30"/>
          <w:szCs w:val="30"/>
        </w:rPr>
        <w:t>)</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指数至少包含</w:t>
      </w:r>
      <w:r>
        <w:rPr>
          <w:rFonts w:ascii="仿宋_GB2312" w:eastAsia="仿宋_GB2312" w:hint="eastAsia"/>
          <w:sz w:val="30"/>
          <w:szCs w:val="30"/>
        </w:rPr>
        <w:t>20</w:t>
      </w:r>
      <w:r>
        <w:rPr>
          <w:rFonts w:ascii="仿宋_GB2312" w:eastAsia="仿宋_GB2312" w:hint="eastAsia"/>
          <w:sz w:val="30"/>
          <w:szCs w:val="30"/>
        </w:rPr>
        <w:t>个成份。</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单一成份的权重不超过指数的</w:t>
      </w:r>
      <w:r>
        <w:rPr>
          <w:rFonts w:ascii="仿宋_GB2312" w:eastAsia="仿宋_GB2312" w:hint="eastAsia"/>
          <w:sz w:val="30"/>
          <w:szCs w:val="30"/>
        </w:rPr>
        <w:t>25%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d.</w:t>
      </w:r>
      <w:r>
        <w:rPr>
          <w:rFonts w:ascii="仿宋_GB2312" w:eastAsia="仿宋_GB2312" w:hint="eastAsia"/>
          <w:sz w:val="30"/>
          <w:szCs w:val="30"/>
        </w:rPr>
        <w:t>按大小排序前</w:t>
      </w:r>
      <w:r>
        <w:rPr>
          <w:rFonts w:ascii="仿宋_GB2312" w:eastAsia="仿宋_GB2312" w:hint="eastAsia"/>
          <w:sz w:val="30"/>
          <w:szCs w:val="30"/>
        </w:rPr>
        <w:t>10%</w:t>
      </w:r>
      <w:r>
        <w:rPr>
          <w:rFonts w:ascii="仿宋_GB2312" w:eastAsia="仿宋_GB2312" w:hint="eastAsia"/>
          <w:sz w:val="30"/>
          <w:szCs w:val="30"/>
        </w:rPr>
        <w:t>的成份权重之和小于指数的</w:t>
      </w:r>
      <w:r>
        <w:rPr>
          <w:rFonts w:ascii="仿宋_GB2312" w:eastAsia="仿宋_GB2312" w:hint="eastAsia"/>
          <w:sz w:val="30"/>
          <w:szCs w:val="30"/>
        </w:rPr>
        <w:t>60%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e.</w:t>
      </w:r>
      <w:r>
        <w:rPr>
          <w:rFonts w:ascii="仿宋_GB2312" w:eastAsia="仿宋_GB2312" w:hint="eastAsia"/>
          <w:sz w:val="30"/>
          <w:szCs w:val="30"/>
        </w:rPr>
        <w:t>该指数所有成份的总市场价值不低于</w:t>
      </w:r>
      <w:r>
        <w:rPr>
          <w:rFonts w:ascii="仿宋_GB2312" w:eastAsia="仿宋_GB2312"/>
          <w:sz w:val="30"/>
          <w:szCs w:val="30"/>
        </w:rPr>
        <w:t xml:space="preserve">2600 </w:t>
      </w:r>
      <w:r>
        <w:rPr>
          <w:rFonts w:ascii="仿宋_GB2312" w:eastAsia="仿宋_GB2312" w:hint="eastAsia"/>
          <w:sz w:val="30"/>
          <w:szCs w:val="30"/>
        </w:rPr>
        <w:t>亿元人民币。</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挂钩同一指数的相同工具计量方法应一致。</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）若采用非穿透法，工具挂钩的每个指数均应计算敏感度风险。当指数中</w:t>
      </w:r>
      <w:r>
        <w:rPr>
          <w:rFonts w:ascii="仿宋_GB2312" w:eastAsia="仿宋_GB2312" w:cs="仿宋_GB2312" w:hint="eastAsia"/>
          <w:color w:val="000000"/>
          <w:kern w:val="0"/>
          <w:sz w:val="30"/>
          <w:szCs w:val="30"/>
          <w:shd w:val="clear" w:color="auto" w:fill="FFFFFF"/>
          <w:lang w:bidi="ar"/>
        </w:rPr>
        <w:t>75%</w:t>
      </w:r>
      <w:r>
        <w:rPr>
          <w:rFonts w:ascii="仿宋_GB2312" w:eastAsia="仿宋_GB2312" w:cs="仿宋_GB2312" w:hint="eastAsia"/>
          <w:color w:val="000000"/>
          <w:kern w:val="0"/>
          <w:sz w:val="30"/>
          <w:szCs w:val="30"/>
          <w:shd w:val="clear" w:color="auto" w:fill="FFFFFF"/>
          <w:lang w:bidi="ar"/>
        </w:rPr>
        <w:t>以上的成份可映射至特定的风险组时，指数工具应同样映射至此风险组，否则应映射</w:t>
      </w:r>
      <w:proofErr w:type="gramStart"/>
      <w:r>
        <w:rPr>
          <w:rFonts w:ascii="仿宋_GB2312" w:eastAsia="仿宋_GB2312" w:cs="仿宋_GB2312" w:hint="eastAsia"/>
          <w:color w:val="000000"/>
          <w:kern w:val="0"/>
          <w:sz w:val="30"/>
          <w:szCs w:val="30"/>
          <w:shd w:val="clear" w:color="auto" w:fill="FFFFFF"/>
          <w:lang w:bidi="ar"/>
        </w:rPr>
        <w:t>到指数组</w:t>
      </w:r>
      <w:proofErr w:type="gramEnd"/>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）多标的期权</w:t>
      </w:r>
      <w:proofErr w:type="gramStart"/>
      <w:r>
        <w:rPr>
          <w:rFonts w:ascii="仿宋_GB2312" w:eastAsia="仿宋_GB2312" w:cs="仿宋_GB2312" w:hint="eastAsia"/>
          <w:color w:val="000000"/>
          <w:kern w:val="0"/>
          <w:sz w:val="30"/>
          <w:szCs w:val="30"/>
          <w:shd w:val="clear" w:color="auto" w:fill="FFFFFF"/>
          <w:lang w:bidi="ar"/>
        </w:rPr>
        <w:t>计量维伽敏感度</w:t>
      </w:r>
      <w:proofErr w:type="gramEnd"/>
      <w:r>
        <w:rPr>
          <w:rFonts w:ascii="仿宋_GB2312" w:eastAsia="仿宋_GB2312" w:cs="仿宋_GB2312" w:hint="eastAsia"/>
          <w:color w:val="000000"/>
          <w:kern w:val="0"/>
          <w:sz w:val="30"/>
          <w:szCs w:val="30"/>
          <w:shd w:val="clear" w:color="auto" w:fill="FFFFFF"/>
          <w:lang w:bidi="ar"/>
        </w:rPr>
        <w:t>时采用非穿透法。</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）对于给定工具，不论是否采用穿透法，计算得尔塔和曲度风险的敏感度口径应保持一致。</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）已采用穿透法的商业银行，未经国家金融监督管理总局或其派出机构</w:t>
      </w:r>
      <w:r>
        <w:rPr>
          <w:rFonts w:ascii="仿宋_GB2312" w:eastAsia="仿宋_GB2312" w:cs="仿宋_GB2312" w:hint="eastAsia"/>
          <w:color w:val="000000"/>
          <w:kern w:val="0"/>
          <w:sz w:val="30"/>
          <w:szCs w:val="30"/>
          <w:shd w:val="clear" w:color="auto" w:fill="FFFFFF"/>
          <w:lang w:bidi="ar"/>
        </w:rPr>
        <w:t>认可不得转为非穿透法。</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hint="eastAsia"/>
          <w:bCs/>
          <w:sz w:val="30"/>
          <w:szCs w:val="30"/>
        </w:rPr>
        <w:t>资产管理产品的计量</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）对于满足本办法附件</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第二部分要求的资产管理产品，商业银行应采用穿透法计量资本要求。对于穿透后底层资产，若其为银行账簿类工具，应根据其风险类别分别纳入相应的风险框</w:t>
      </w:r>
      <w:r>
        <w:rPr>
          <w:rFonts w:ascii="仿宋_GB2312" w:eastAsia="仿宋_GB2312" w:cs="仿宋_GB2312" w:hint="eastAsia"/>
          <w:color w:val="000000"/>
          <w:kern w:val="0"/>
          <w:sz w:val="30"/>
          <w:szCs w:val="30"/>
          <w:shd w:val="clear" w:color="auto" w:fill="FFFFFF"/>
          <w:lang w:bidi="ar"/>
        </w:rPr>
        <w:lastRenderedPageBreak/>
        <w:t>架计量。如现金、存款、货币拆借等工具的信用风险，应纳入信用风险框架计量风险加权资产，其对应外汇头寸的汇率风险仍应在市场风险框架下计量。</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）对于不能穿透的资产管理产品，商业银行可选用以下方法计算资产管理产品的资本要求：</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银行可以利用资产管理产品募集说明书、定期报告、管理此类资产管理产品的国</w:t>
      </w:r>
      <w:r>
        <w:rPr>
          <w:rFonts w:ascii="仿宋_GB2312" w:eastAsia="仿宋_GB2312" w:hint="eastAsia"/>
          <w:sz w:val="30"/>
          <w:szCs w:val="30"/>
        </w:rPr>
        <w:t>家法律法规或资产管理产品披露的其他信息作为计量依据。银行应假设将资产管理产品在授权投资范围内最大限度地投资于基于敏感度方法下资本要求最高的资产，并相应逐级投资其他资本要求较低的资产，授权范围应考虑杠杆放大效应。如果资产对应风险权重不止一个，则应采用最高的风险权重。资产管理产品应逐产品单独计提市场风险资本。</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sz w:val="30"/>
          <w:szCs w:val="30"/>
        </w:rPr>
        <w:t>b.</w:t>
      </w:r>
      <w:r>
        <w:rPr>
          <w:rFonts w:ascii="仿宋_GB2312" w:eastAsia="仿宋_GB2312" w:hint="eastAsia"/>
          <w:sz w:val="30"/>
          <w:szCs w:val="30"/>
        </w:rPr>
        <w:t>银行可以将资产管理产品视作未评级的股票风险暴露，映射至其他组（股票风险类别的风险组</w:t>
      </w:r>
      <w:r>
        <w:rPr>
          <w:rFonts w:ascii="仿宋_GB2312" w:eastAsia="仿宋_GB2312" w:hint="eastAsia"/>
          <w:sz w:val="30"/>
          <w:szCs w:val="30"/>
        </w:rPr>
        <w:t>11</w:t>
      </w:r>
      <w:r>
        <w:rPr>
          <w:rFonts w:ascii="仿宋_GB2312" w:eastAsia="仿宋_GB2312" w:hint="eastAsia"/>
          <w:sz w:val="30"/>
          <w:szCs w:val="30"/>
        </w:rPr>
        <w:t>），并根据资产管理产品信息，判断是否需要计提违约风险资本要求和剩余风险附加资本要求。如果该资产管理产品主要投资高收益或不良资产，银行应使用资产管理产品投资范围内的最高</w:t>
      </w:r>
      <w:r>
        <w:rPr>
          <w:rFonts w:ascii="仿宋_GB2312" w:eastAsia="仿宋_GB2312" w:cs="仿宋_GB2312" w:hint="eastAsia"/>
          <w:color w:val="000000"/>
          <w:kern w:val="0"/>
          <w:sz w:val="30"/>
          <w:szCs w:val="30"/>
          <w:shd w:val="clear" w:color="auto" w:fill="FFFFFF"/>
          <w:lang w:bidi="ar"/>
        </w:rPr>
        <w:t>风险权重计量违约风险资本要求。</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）对于跟踪指数基准的资产管理产品，商业银行应采用穿透法计量。仅在满足下列条件下，商业银行可以按照本附件第二部分（十一）</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）的要求采用非穿透法计量资本要求：</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资产管理产品的跟踪误差绝对值小于</w:t>
      </w:r>
      <w:r>
        <w:rPr>
          <w:rFonts w:ascii="仿宋_GB2312" w:eastAsia="仿宋_GB2312" w:hint="eastAsia"/>
          <w:sz w:val="30"/>
          <w:szCs w:val="30"/>
        </w:rPr>
        <w:t>1%</w:t>
      </w:r>
      <w:r>
        <w:rPr>
          <w:rFonts w:ascii="仿宋_GB2312" w:eastAsia="仿宋_GB2312" w:hint="eastAsia"/>
          <w:sz w:val="30"/>
          <w:szCs w:val="30"/>
        </w:rPr>
        <w:t>（不计佣金和手续费）。</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商业银行至少每年评估一次跟踪误差。跟踪误差为过去</w:t>
      </w:r>
      <w:r>
        <w:rPr>
          <w:rFonts w:ascii="仿宋_GB2312" w:eastAsia="仿宋_GB2312" w:hint="eastAsia"/>
          <w:sz w:val="30"/>
          <w:szCs w:val="30"/>
        </w:rPr>
        <w:t>12</w:t>
      </w:r>
      <w:r>
        <w:rPr>
          <w:rFonts w:ascii="仿宋_GB2312" w:eastAsia="仿宋_GB2312" w:hint="eastAsia"/>
          <w:sz w:val="30"/>
          <w:szCs w:val="30"/>
        </w:rPr>
        <w:t>个月的资产管理产品收益率与跟踪基准收益率之差。</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lastRenderedPageBreak/>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）商业银行应采用最新一期数据计量资产管理产品的资本要求。</w:t>
      </w:r>
    </w:p>
    <w:p w:rsidR="004165E8" w:rsidRDefault="00A108D9">
      <w:pPr>
        <w:pStyle w:val="20"/>
      </w:pPr>
      <w:r>
        <w:rPr>
          <w:rFonts w:hint="eastAsia"/>
        </w:rPr>
        <w:t>三、违约风险的资本要求</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违约风险资本用于抵御基于敏感度方法的信用利差没有捕捉到的违约风险。存在违约风险的以下工具应计算违约风险资本要求：</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）非证券化的资产组合。</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）证券化资产组合（非相关性交易组合，</w:t>
      </w:r>
      <w:r>
        <w:rPr>
          <w:rFonts w:ascii="仿宋_GB2312" w:eastAsia="仿宋_GB2312" w:hint="eastAsia"/>
          <w:sz w:val="30"/>
          <w:szCs w:val="30"/>
        </w:rPr>
        <w:t>n</w:t>
      </w:r>
      <w:r>
        <w:rPr>
          <w:rFonts w:ascii="仿宋_GB2312" w:eastAsia="仿宋_GB2312"/>
          <w:sz w:val="30"/>
          <w:szCs w:val="30"/>
        </w:rPr>
        <w:t>on-CTP</w:t>
      </w:r>
      <w:r>
        <w:rPr>
          <w:rFonts w:ascii="仿宋_GB2312" w:eastAsia="仿宋_GB2312" w:hint="eastAsia"/>
          <w:sz w:val="30"/>
          <w:szCs w:val="30"/>
        </w:rPr>
        <w:t>）。</w:t>
      </w:r>
    </w:p>
    <w:p w:rsidR="004165E8" w:rsidRDefault="00A108D9">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）证券化资产组合（相关性交易组合，</w:t>
      </w:r>
      <w:r>
        <w:rPr>
          <w:rFonts w:ascii="仿宋_GB2312" w:eastAsia="仿宋_GB2312" w:hint="eastAsia"/>
          <w:sz w:val="30"/>
          <w:szCs w:val="30"/>
        </w:rPr>
        <w:t>C</w:t>
      </w:r>
      <w:r>
        <w:rPr>
          <w:rFonts w:ascii="仿宋_GB2312" w:eastAsia="仿宋_GB2312"/>
          <w:sz w:val="30"/>
          <w:szCs w:val="30"/>
        </w:rPr>
        <w:t>TP</w:t>
      </w:r>
      <w:r>
        <w:rPr>
          <w:rFonts w:ascii="仿宋_GB2312" w:eastAsia="仿宋_GB2312" w:hint="eastAsia"/>
          <w:sz w:val="30"/>
          <w:szCs w:val="30"/>
        </w:rPr>
        <w:t>）。</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（一）</w:t>
      </w:r>
      <w:bookmarkStart w:id="14" w:name="_Hlk48835287"/>
      <w:r>
        <w:rPr>
          <w:rFonts w:ascii="楷体_GB2312" w:eastAsia="楷体_GB2312" w:hAnsi="黑体" w:hint="eastAsia"/>
          <w:bCs/>
          <w:sz w:val="30"/>
          <w:szCs w:val="30"/>
        </w:rPr>
        <w:t>违约风险资本计量总体要求</w:t>
      </w:r>
    </w:p>
    <w:p w:rsidR="004165E8" w:rsidRDefault="00A108D9">
      <w:pPr>
        <w:widowControl/>
        <w:spacing w:line="480" w:lineRule="exact"/>
        <w:ind w:firstLineChars="200" w:firstLine="600"/>
        <w:outlineLvl w:val="2"/>
        <w:rPr>
          <w:rFonts w:ascii="仿宋_GB2312" w:eastAsia="仿宋_GB2312" w:hAnsi="黑体"/>
          <w:bCs/>
          <w:sz w:val="30"/>
          <w:szCs w:val="30"/>
        </w:rPr>
      </w:pPr>
      <w:bookmarkStart w:id="15" w:name="_Hlk48835513"/>
      <w:bookmarkEnd w:id="14"/>
      <w:r>
        <w:rPr>
          <w:rFonts w:ascii="仿宋_GB2312" w:eastAsia="仿宋_GB2312" w:hAnsi="黑体"/>
          <w:bCs/>
          <w:sz w:val="30"/>
          <w:szCs w:val="30"/>
        </w:rPr>
        <w:t>1</w:t>
      </w:r>
      <w:r>
        <w:rPr>
          <w:rFonts w:ascii="仿宋_GB2312" w:eastAsia="仿宋_GB2312" w:hAnsi="黑体" w:hint="eastAsia"/>
          <w:bCs/>
          <w:sz w:val="30"/>
          <w:szCs w:val="30"/>
        </w:rPr>
        <w:t>.</w:t>
      </w:r>
      <w:r>
        <w:rPr>
          <w:rFonts w:ascii="仿宋_GB2312" w:eastAsia="仿宋_GB2312" w:hAnsi="黑体"/>
          <w:bCs/>
          <w:sz w:val="30"/>
          <w:szCs w:val="30"/>
        </w:rPr>
        <w:t>计算步骤</w:t>
      </w:r>
    </w:p>
    <w:bookmarkEnd w:id="15"/>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）计算每个风险暴露的</w:t>
      </w:r>
      <w:r>
        <w:rPr>
          <w:rFonts w:ascii="仿宋_GB2312" w:eastAsia="仿宋_GB2312" w:cs="仿宋_GB2312" w:hint="eastAsia"/>
          <w:color w:val="000000"/>
          <w:kern w:val="0"/>
          <w:sz w:val="30"/>
          <w:szCs w:val="30"/>
          <w:shd w:val="clear" w:color="auto" w:fill="FFFFFF"/>
          <w:lang w:bidi="ar"/>
        </w:rPr>
        <w:t>违约风险头寸。</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）对于同一债务人</w:t>
      </w:r>
      <w:r>
        <w:rPr>
          <w:rFonts w:ascii="仿宋_GB2312" w:eastAsia="仿宋_GB2312" w:cs="仿宋_GB2312" w:hint="eastAsia"/>
          <w:kern w:val="0"/>
          <w:sz w:val="30"/>
          <w:szCs w:val="30"/>
          <w:shd w:val="clear" w:color="auto" w:fill="FFFFFF"/>
          <w:lang w:bidi="ar"/>
        </w:rPr>
        <w:t>或证券化工具同一层级</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空头和</w:t>
      </w:r>
      <w:proofErr w:type="gramEnd"/>
      <w:r>
        <w:rPr>
          <w:rFonts w:ascii="仿宋_GB2312" w:eastAsia="仿宋_GB2312" w:cs="仿宋_GB2312" w:hint="eastAsia"/>
          <w:color w:val="000000"/>
          <w:kern w:val="0"/>
          <w:sz w:val="30"/>
          <w:szCs w:val="30"/>
          <w:shd w:val="clear" w:color="auto" w:fill="FFFFFF"/>
          <w:lang w:bidi="ar"/>
        </w:rPr>
        <w:t>多头的违约风险头寸在符合条件的情况下抵消，得出净多头风险头寸和净空</w:t>
      </w:r>
      <w:proofErr w:type="gramStart"/>
      <w:r>
        <w:rPr>
          <w:rFonts w:ascii="仿宋_GB2312" w:eastAsia="仿宋_GB2312" w:cs="仿宋_GB2312" w:hint="eastAsia"/>
          <w:color w:val="000000"/>
          <w:kern w:val="0"/>
          <w:sz w:val="30"/>
          <w:szCs w:val="30"/>
          <w:shd w:val="clear" w:color="auto" w:fill="FFFFFF"/>
          <w:lang w:bidi="ar"/>
        </w:rPr>
        <w:t>头风险</w:t>
      </w:r>
      <w:proofErr w:type="gramEnd"/>
      <w:r>
        <w:rPr>
          <w:rFonts w:ascii="仿宋_GB2312" w:eastAsia="仿宋_GB2312" w:cs="仿宋_GB2312" w:hint="eastAsia"/>
          <w:color w:val="000000"/>
          <w:kern w:val="0"/>
          <w:sz w:val="30"/>
          <w:szCs w:val="30"/>
          <w:shd w:val="clear" w:color="auto" w:fill="FFFFFF"/>
          <w:lang w:bidi="ar"/>
        </w:rPr>
        <w:t>头寸。</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）将</w:t>
      </w:r>
      <w:proofErr w:type="gramStart"/>
      <w:r>
        <w:rPr>
          <w:rFonts w:ascii="仿宋_GB2312" w:eastAsia="仿宋_GB2312" w:cs="仿宋_GB2312" w:hint="eastAsia"/>
          <w:color w:val="000000"/>
          <w:kern w:val="0"/>
          <w:sz w:val="30"/>
          <w:szCs w:val="30"/>
          <w:shd w:val="clear" w:color="auto" w:fill="FFFFFF"/>
          <w:lang w:bidi="ar"/>
        </w:rPr>
        <w:t>净风险</w:t>
      </w:r>
      <w:proofErr w:type="gramEnd"/>
      <w:r>
        <w:rPr>
          <w:rFonts w:ascii="仿宋_GB2312" w:eastAsia="仿宋_GB2312" w:cs="仿宋_GB2312" w:hint="eastAsia"/>
          <w:color w:val="000000"/>
          <w:kern w:val="0"/>
          <w:sz w:val="30"/>
          <w:szCs w:val="30"/>
          <w:shd w:val="clear" w:color="auto" w:fill="FFFFFF"/>
          <w:lang w:bidi="ar"/>
        </w:rPr>
        <w:t>头寸分配到不同的风险组中。</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）同一个风险组中，将</w:t>
      </w:r>
      <w:proofErr w:type="gramStart"/>
      <w:r>
        <w:rPr>
          <w:rFonts w:ascii="仿宋_GB2312" w:eastAsia="仿宋_GB2312" w:cs="仿宋_GB2312" w:hint="eastAsia"/>
          <w:color w:val="000000"/>
          <w:kern w:val="0"/>
          <w:sz w:val="30"/>
          <w:szCs w:val="30"/>
          <w:shd w:val="clear" w:color="auto" w:fill="FFFFFF"/>
          <w:lang w:bidi="ar"/>
        </w:rPr>
        <w:t>净风险</w:t>
      </w:r>
      <w:proofErr w:type="gramEnd"/>
      <w:r>
        <w:rPr>
          <w:rFonts w:ascii="仿宋_GB2312" w:eastAsia="仿宋_GB2312" w:cs="仿宋_GB2312" w:hint="eastAsia"/>
          <w:color w:val="000000"/>
          <w:kern w:val="0"/>
          <w:sz w:val="30"/>
          <w:szCs w:val="30"/>
          <w:shd w:val="clear" w:color="auto" w:fill="FFFFFF"/>
          <w:lang w:bidi="ar"/>
        </w:rPr>
        <w:t>头寸乘以风险权重，通过对</w:t>
      </w:r>
      <w:proofErr w:type="gramStart"/>
      <w:r>
        <w:rPr>
          <w:rFonts w:ascii="仿宋_GB2312" w:eastAsia="仿宋_GB2312" w:cs="仿宋_GB2312" w:hint="eastAsia"/>
          <w:color w:val="000000"/>
          <w:kern w:val="0"/>
          <w:sz w:val="30"/>
          <w:szCs w:val="30"/>
          <w:shd w:val="clear" w:color="auto" w:fill="FFFFFF"/>
          <w:lang w:bidi="ar"/>
        </w:rPr>
        <w:t>冲效益</w:t>
      </w:r>
      <w:proofErr w:type="gramEnd"/>
      <w:r>
        <w:rPr>
          <w:rFonts w:ascii="仿宋_GB2312" w:eastAsia="仿宋_GB2312" w:cs="仿宋_GB2312" w:hint="eastAsia"/>
          <w:color w:val="000000"/>
          <w:kern w:val="0"/>
          <w:sz w:val="30"/>
          <w:szCs w:val="30"/>
          <w:shd w:val="clear" w:color="auto" w:fill="FFFFFF"/>
          <w:lang w:bidi="ar"/>
        </w:rPr>
        <w:t>比例进行对冲处理，得出</w:t>
      </w:r>
      <w:proofErr w:type="gramStart"/>
      <w:r>
        <w:rPr>
          <w:rFonts w:ascii="仿宋_GB2312" w:eastAsia="仿宋_GB2312" w:cs="仿宋_GB2312" w:hint="eastAsia"/>
          <w:color w:val="000000"/>
          <w:kern w:val="0"/>
          <w:sz w:val="30"/>
          <w:szCs w:val="30"/>
          <w:shd w:val="clear" w:color="auto" w:fill="FFFFFF"/>
          <w:lang w:bidi="ar"/>
        </w:rPr>
        <w:t>各风险组</w:t>
      </w:r>
      <w:proofErr w:type="gramEnd"/>
      <w:r>
        <w:rPr>
          <w:rFonts w:ascii="仿宋_GB2312" w:eastAsia="仿宋_GB2312" w:cs="仿宋_GB2312" w:hint="eastAsia"/>
          <w:color w:val="000000"/>
          <w:kern w:val="0"/>
          <w:sz w:val="30"/>
          <w:szCs w:val="30"/>
          <w:shd w:val="clear" w:color="auto" w:fill="FFFFFF"/>
          <w:lang w:bidi="ar"/>
        </w:rPr>
        <w:t>违约风险资本要求。</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w:t>
      </w:r>
      <w:proofErr w:type="gramStart"/>
      <w:r>
        <w:rPr>
          <w:rFonts w:ascii="仿宋_GB2312" w:eastAsia="仿宋_GB2312" w:cs="仿宋_GB2312" w:hint="eastAsia"/>
          <w:color w:val="000000"/>
          <w:kern w:val="0"/>
          <w:sz w:val="30"/>
          <w:szCs w:val="30"/>
          <w:shd w:val="clear" w:color="auto" w:fill="FFFFFF"/>
          <w:lang w:bidi="ar"/>
        </w:rPr>
        <w:t>各风险组</w:t>
      </w:r>
      <w:proofErr w:type="gramEnd"/>
      <w:r>
        <w:rPr>
          <w:rFonts w:ascii="仿宋_GB2312" w:eastAsia="仿宋_GB2312" w:cs="仿宋_GB2312" w:hint="eastAsia"/>
          <w:color w:val="000000"/>
          <w:kern w:val="0"/>
          <w:sz w:val="30"/>
          <w:szCs w:val="30"/>
          <w:shd w:val="clear" w:color="auto" w:fill="FFFFFF"/>
          <w:lang w:bidi="ar"/>
        </w:rPr>
        <w:t>的违约风险资本要求汇总得到整体违约风险资本要求。</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r>
        <w:rPr>
          <w:rFonts w:ascii="仿宋_GB2312" w:eastAsia="仿宋_GB2312" w:hAnsi="黑体" w:hint="eastAsia"/>
          <w:bCs/>
          <w:sz w:val="30"/>
          <w:szCs w:val="30"/>
        </w:rPr>
        <w:t>.</w:t>
      </w:r>
      <w:r>
        <w:rPr>
          <w:rFonts w:ascii="仿宋_GB2312" w:eastAsia="仿宋_GB2312" w:hAnsi="黑体"/>
          <w:bCs/>
          <w:sz w:val="30"/>
          <w:szCs w:val="30"/>
        </w:rPr>
        <w:t>其他要求</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）非证券化的资产组合、</w:t>
      </w:r>
      <w:r>
        <w:rPr>
          <w:rFonts w:ascii="仿宋_GB2312" w:eastAsia="仿宋_GB2312" w:cs="仿宋_GB2312"/>
          <w:color w:val="000000"/>
          <w:kern w:val="0"/>
          <w:sz w:val="30"/>
          <w:szCs w:val="30"/>
          <w:shd w:val="clear" w:color="auto" w:fill="FFFFFF"/>
          <w:lang w:bidi="ar"/>
        </w:rPr>
        <w:t>non-CTP</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CTP</w:t>
      </w:r>
      <w:r>
        <w:rPr>
          <w:rFonts w:ascii="仿宋_GB2312" w:eastAsia="仿宋_GB2312" w:cs="仿宋_GB2312" w:hint="eastAsia"/>
          <w:color w:val="000000"/>
          <w:kern w:val="0"/>
          <w:sz w:val="30"/>
          <w:szCs w:val="30"/>
          <w:shd w:val="clear" w:color="auto" w:fill="FFFFFF"/>
          <w:lang w:bidi="ar"/>
        </w:rPr>
        <w:t>之间的违约风险不存在分散效应。</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）非证券化信用和股票衍生工具应采用穿透法计算每个法人实体的违约风险头寸。</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w:t>
      </w:r>
      <w:bookmarkStart w:id="16" w:name="_Hlk71293777"/>
      <w:r>
        <w:rPr>
          <w:rFonts w:ascii="仿宋_GB2312" w:eastAsia="仿宋_GB2312" w:cs="仿宋_GB2312" w:hint="eastAsia"/>
          <w:color w:val="000000"/>
          <w:kern w:val="0"/>
          <w:sz w:val="30"/>
          <w:szCs w:val="30"/>
          <w:shd w:val="clear" w:color="auto" w:fill="FFFFFF"/>
          <w:lang w:bidi="ar"/>
        </w:rPr>
        <w:t>计算非证券化违约风险时应扣除对冲相关性交易组合</w:t>
      </w:r>
      <w:r>
        <w:rPr>
          <w:rFonts w:ascii="仿宋_GB2312" w:eastAsia="仿宋_GB2312" w:cs="仿宋_GB2312" w:hint="eastAsia"/>
          <w:color w:val="000000"/>
          <w:kern w:val="0"/>
          <w:sz w:val="30"/>
          <w:szCs w:val="30"/>
          <w:shd w:val="clear" w:color="auto" w:fill="FFFFFF"/>
          <w:lang w:bidi="ar"/>
        </w:rPr>
        <w:lastRenderedPageBreak/>
        <w:t>的非证券化金融工具，后者的资本要求在对应相关性交易组合中计算。</w:t>
      </w:r>
    </w:p>
    <w:bookmarkEnd w:id="16"/>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）信用风险权重法下适用于零权重的主权、开发性金融机构和政策性银行、公共部门实体、多边开发银行的违约风险权重为零。</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kern w:val="0"/>
          <w:sz w:val="30"/>
          <w:szCs w:val="30"/>
          <w:shd w:val="clear" w:color="auto" w:fill="FFFFFF"/>
          <w:lang w:bidi="ar"/>
        </w:rPr>
        <w:t>（</w:t>
      </w:r>
      <w:r>
        <w:rPr>
          <w:rFonts w:ascii="仿宋_GB2312" w:eastAsia="仿宋_GB2312" w:cs="仿宋_GB2312" w:hint="eastAsia"/>
          <w:kern w:val="0"/>
          <w:sz w:val="30"/>
          <w:szCs w:val="30"/>
          <w:shd w:val="clear" w:color="auto" w:fill="FFFFFF"/>
          <w:lang w:bidi="ar"/>
        </w:rPr>
        <w:t>5</w:t>
      </w:r>
      <w:r>
        <w:rPr>
          <w:rFonts w:ascii="仿宋_GB2312" w:eastAsia="仿宋_GB2312" w:cs="仿宋_GB2312" w:hint="eastAsia"/>
          <w:kern w:val="0"/>
          <w:sz w:val="30"/>
          <w:szCs w:val="30"/>
          <w:shd w:val="clear" w:color="auto" w:fill="FFFFFF"/>
          <w:lang w:bidi="ar"/>
        </w:rPr>
        <w:t>）</w:t>
      </w:r>
      <w:r>
        <w:rPr>
          <w:rFonts w:ascii="仿宋_GB2312" w:eastAsia="仿宋_GB2312" w:hint="eastAsia"/>
          <w:sz w:val="30"/>
          <w:szCs w:val="30"/>
        </w:rPr>
        <w:t>我国地方政府、公共部门实体若无法获取主体评级，可使用债项评级作为信用等级判断依据。</w:t>
      </w:r>
    </w:p>
    <w:p w:rsidR="004165E8" w:rsidRDefault="00A108D9">
      <w:pPr>
        <w:pStyle w:val="Default"/>
        <w:spacing w:line="480" w:lineRule="exact"/>
        <w:ind w:firstLineChars="200" w:firstLine="600"/>
        <w:jc w:val="both"/>
        <w:rPr>
          <w:rFonts w:ascii="仿宋_GB2312" w:eastAsia="仿宋_GB2312" w:hAnsi="Times New Roman" w:cs="Times New Roman"/>
          <w:color w:val="auto"/>
          <w:kern w:val="2"/>
          <w:sz w:val="30"/>
          <w:szCs w:val="30"/>
        </w:rPr>
      </w:pPr>
      <w:r>
        <w:rPr>
          <w:rFonts w:ascii="仿宋_GB2312" w:eastAsia="仿宋_GB2312" w:hint="eastAsia"/>
          <w:color w:val="auto"/>
          <w:sz w:val="30"/>
          <w:szCs w:val="30"/>
        </w:rPr>
        <w:t>（</w:t>
      </w:r>
      <w:r>
        <w:rPr>
          <w:rFonts w:ascii="仿宋_GB2312" w:eastAsia="仿宋_GB2312" w:hint="eastAsia"/>
          <w:color w:val="auto"/>
          <w:sz w:val="30"/>
          <w:szCs w:val="30"/>
        </w:rPr>
        <w:t>6</w:t>
      </w:r>
      <w:r>
        <w:rPr>
          <w:rFonts w:ascii="仿宋_GB2312" w:eastAsia="仿宋_GB2312" w:hint="eastAsia"/>
          <w:color w:val="auto"/>
          <w:sz w:val="30"/>
          <w:szCs w:val="30"/>
        </w:rPr>
        <w:t>）</w:t>
      </w:r>
      <w:r>
        <w:rPr>
          <w:rFonts w:ascii="仿宋_GB2312" w:eastAsia="仿宋_GB2312" w:cs="仿宋_GB2312" w:hint="eastAsia"/>
          <w:color w:val="auto"/>
          <w:sz w:val="30"/>
          <w:szCs w:val="30"/>
          <w:shd w:val="clear" w:color="auto" w:fill="FFFFFF"/>
          <w:lang w:bidi="ar"/>
        </w:rPr>
        <w:t>在判断信用等级时，对于经国家金融监督管理总局或其派出机构验收通过实施信用风险内部评级法的银行，若无法取得发行主体的合格外部评级，可将内部评级映射到外部评级。</w:t>
      </w:r>
      <w:r>
        <w:rPr>
          <w:rFonts w:ascii="仿宋_GB2312" w:eastAsia="仿宋_GB2312" w:hint="eastAsia"/>
          <w:color w:val="auto"/>
          <w:sz w:val="30"/>
          <w:szCs w:val="30"/>
        </w:rPr>
        <w:t>商业银行应制定清晰的评级映射规则，至少每年检验一次映射规则的合理性，并留档备查。</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（二）</w:t>
      </w:r>
      <w:bookmarkStart w:id="17" w:name="_Hlk48835296"/>
      <w:r>
        <w:rPr>
          <w:rFonts w:ascii="楷体_GB2312" w:eastAsia="楷体_GB2312" w:hAnsi="黑体" w:hint="eastAsia"/>
          <w:bCs/>
          <w:sz w:val="30"/>
          <w:szCs w:val="30"/>
        </w:rPr>
        <w:t>非证券化违约风险资本要求</w:t>
      </w:r>
      <w:bookmarkEnd w:id="17"/>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bookmarkStart w:id="18" w:name="_Hlk48835546"/>
      <w:r>
        <w:rPr>
          <w:rFonts w:ascii="仿宋_GB2312" w:eastAsia="仿宋_GB2312" w:hAnsi="黑体" w:hint="eastAsia"/>
          <w:bCs/>
          <w:sz w:val="30"/>
          <w:szCs w:val="30"/>
        </w:rPr>
        <w:t>.</w:t>
      </w:r>
      <w:r>
        <w:rPr>
          <w:rFonts w:ascii="仿宋_GB2312" w:eastAsia="仿宋_GB2312" w:hAnsi="黑体"/>
          <w:bCs/>
          <w:sz w:val="30"/>
          <w:szCs w:val="30"/>
        </w:rPr>
        <w:t>违约风险的总头寸和净头寸</w:t>
      </w:r>
    </w:p>
    <w:bookmarkEnd w:id="18"/>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）违约风险头寸（</w:t>
      </w:r>
      <w:r>
        <w:rPr>
          <w:rFonts w:ascii="仿宋_GB2312" w:eastAsia="仿宋_GB2312" w:cs="仿宋_GB2312" w:hint="eastAsia"/>
          <w:color w:val="000000"/>
          <w:kern w:val="0"/>
          <w:sz w:val="30"/>
          <w:szCs w:val="30"/>
          <w:shd w:val="clear" w:color="auto" w:fill="FFFFFF"/>
          <w:lang w:bidi="ar"/>
        </w:rPr>
        <w:t>J</w:t>
      </w:r>
      <w:r>
        <w:rPr>
          <w:rFonts w:ascii="仿宋_GB2312" w:eastAsia="仿宋_GB2312" w:cs="仿宋_GB2312"/>
          <w:color w:val="000000"/>
          <w:kern w:val="0"/>
          <w:sz w:val="30"/>
          <w:szCs w:val="30"/>
          <w:shd w:val="clear" w:color="auto" w:fill="FFFFFF"/>
          <w:lang w:bidi="ar"/>
        </w:rPr>
        <w:t>TD</w:t>
      </w:r>
      <w:r>
        <w:rPr>
          <w:rFonts w:ascii="仿宋_GB2312" w:eastAsia="仿宋_GB2312" w:cs="仿宋_GB2312" w:hint="eastAsia"/>
          <w:color w:val="000000"/>
          <w:kern w:val="0"/>
          <w:sz w:val="30"/>
          <w:szCs w:val="30"/>
          <w:shd w:val="clear" w:color="auto" w:fill="FFFFFF"/>
          <w:lang w:bidi="ar"/>
        </w:rPr>
        <w:t>）是违约损失率（</w:t>
      </w:r>
      <w:r>
        <w:rPr>
          <w:rFonts w:ascii="仿宋_GB2312" w:eastAsia="仿宋_GB2312" w:cs="仿宋_GB2312" w:hint="eastAsia"/>
          <w:color w:val="000000"/>
          <w:kern w:val="0"/>
          <w:sz w:val="30"/>
          <w:szCs w:val="30"/>
          <w:shd w:val="clear" w:color="auto" w:fill="FFFFFF"/>
          <w:lang w:bidi="ar"/>
        </w:rPr>
        <w:t>L</w:t>
      </w:r>
      <w:r>
        <w:rPr>
          <w:rFonts w:ascii="仿宋_GB2312" w:eastAsia="仿宋_GB2312" w:cs="仿宋_GB2312"/>
          <w:color w:val="000000"/>
          <w:kern w:val="0"/>
          <w:sz w:val="30"/>
          <w:szCs w:val="30"/>
          <w:shd w:val="clear" w:color="auto" w:fill="FFFFFF"/>
          <w:lang w:bidi="ar"/>
        </w:rPr>
        <w:t>GD</w:t>
      </w:r>
      <w:r>
        <w:rPr>
          <w:rFonts w:ascii="仿宋_GB2312" w:eastAsia="仿宋_GB2312" w:cs="仿宋_GB2312" w:hint="eastAsia"/>
          <w:color w:val="000000"/>
          <w:kern w:val="0"/>
          <w:sz w:val="30"/>
          <w:szCs w:val="30"/>
          <w:shd w:val="clear" w:color="auto" w:fill="FFFFFF"/>
          <w:lang w:bidi="ar"/>
        </w:rPr>
        <w:t>）、名义本金和已实现的累计损益的函数，公式如下：</w:t>
      </w:r>
    </w:p>
    <w:p w:rsidR="004165E8" w:rsidRDefault="00A108D9">
      <w:pPr>
        <w:widowControl/>
        <w:spacing w:line="480" w:lineRule="exact"/>
        <w:jc w:val="center"/>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JTD(</w:t>
      </w:r>
      <w:r>
        <w:rPr>
          <w:rFonts w:ascii="仿宋_GB2312" w:eastAsia="仿宋_GB2312" w:cs="仿宋_GB2312" w:hint="eastAsia"/>
          <w:color w:val="000000"/>
          <w:kern w:val="0"/>
          <w:sz w:val="30"/>
          <w:szCs w:val="30"/>
          <w:shd w:val="clear" w:color="auto" w:fill="FFFFFF"/>
          <w:lang w:bidi="ar"/>
        </w:rPr>
        <w:t>多头</w:t>
      </w:r>
      <w:r>
        <w:rPr>
          <w:rFonts w:ascii="仿宋_GB2312" w:eastAsia="仿宋_GB2312" w:cs="仿宋_GB2312" w:hint="eastAsia"/>
          <w:color w:val="000000"/>
          <w:kern w:val="0"/>
          <w:sz w:val="30"/>
          <w:szCs w:val="30"/>
          <w:shd w:val="clear" w:color="auto" w:fill="FFFFFF"/>
          <w:lang w:bidi="ar"/>
        </w:rPr>
        <w:t>)=max(LGD</w:t>
      </w:r>
      <w:r>
        <w:rPr>
          <w:rFonts w:ascii="仿宋_GB2312" w:eastAsia="仿宋_GB2312" w:cs="仿宋_GB2312"/>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名义本金</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损益</w:t>
      </w:r>
      <w:r>
        <w:rPr>
          <w:rFonts w:ascii="仿宋_GB2312" w:eastAsia="仿宋_GB2312" w:cs="仿宋_GB2312" w:hint="eastAsia"/>
          <w:color w:val="000000"/>
          <w:kern w:val="0"/>
          <w:sz w:val="30"/>
          <w:szCs w:val="30"/>
          <w:shd w:val="clear" w:color="auto" w:fill="FFFFFF"/>
          <w:lang w:bidi="ar"/>
        </w:rPr>
        <w:t>,0)</w:t>
      </w:r>
    </w:p>
    <w:p w:rsidR="004165E8" w:rsidRDefault="00A108D9">
      <w:pPr>
        <w:widowControl/>
        <w:spacing w:line="480" w:lineRule="exact"/>
        <w:jc w:val="center"/>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JTD(</w:t>
      </w:r>
      <w:r>
        <w:rPr>
          <w:rFonts w:ascii="仿宋_GB2312" w:eastAsia="仿宋_GB2312" w:cs="仿宋_GB2312" w:hint="eastAsia"/>
          <w:color w:val="000000"/>
          <w:kern w:val="0"/>
          <w:sz w:val="30"/>
          <w:szCs w:val="30"/>
          <w:shd w:val="clear" w:color="auto" w:fill="FFFFFF"/>
          <w:lang w:bidi="ar"/>
        </w:rPr>
        <w:t>空头</w:t>
      </w:r>
      <w:r>
        <w:rPr>
          <w:rFonts w:ascii="仿宋_GB2312" w:eastAsia="仿宋_GB2312" w:cs="仿宋_GB2312" w:hint="eastAsia"/>
          <w:color w:val="000000"/>
          <w:kern w:val="0"/>
          <w:sz w:val="30"/>
          <w:szCs w:val="30"/>
          <w:shd w:val="clear" w:color="auto" w:fill="FFFFFF"/>
          <w:lang w:bidi="ar"/>
        </w:rPr>
        <w:t>)=min(LGD</w:t>
      </w:r>
      <w:r>
        <w:rPr>
          <w:rFonts w:ascii="仿宋_GB2312" w:eastAsia="仿宋_GB2312" w:cs="仿宋_GB2312"/>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名义本金</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损益</w:t>
      </w:r>
      <w:r>
        <w:rPr>
          <w:rFonts w:ascii="仿宋_GB2312" w:eastAsia="仿宋_GB2312" w:cs="仿宋_GB2312" w:hint="eastAsia"/>
          <w:color w:val="000000"/>
          <w:kern w:val="0"/>
          <w:sz w:val="30"/>
          <w:szCs w:val="30"/>
          <w:shd w:val="clear" w:color="auto" w:fill="FFFFFF"/>
          <w:lang w:bidi="ar"/>
        </w:rPr>
        <w:t>,0)</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其中：</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名义本金为金融工具等价债券的名义本金。</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损益为当前市场价值减去名义本金。</w:t>
      </w:r>
    </w:p>
    <w:p w:rsidR="004165E8" w:rsidRDefault="00A108D9">
      <w:pPr>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多头</w:t>
      </w:r>
      <w:r>
        <w:rPr>
          <w:rFonts w:ascii="仿宋_GB2312" w:eastAsia="仿宋_GB2312" w:hint="eastAsia"/>
          <w:sz w:val="30"/>
          <w:szCs w:val="30"/>
        </w:rPr>
        <w:t>/</w:t>
      </w:r>
      <w:r>
        <w:rPr>
          <w:rFonts w:ascii="仿宋_GB2312" w:eastAsia="仿宋_GB2312" w:hint="eastAsia"/>
          <w:sz w:val="30"/>
          <w:szCs w:val="30"/>
        </w:rPr>
        <w:t>空头头寸方向以违约时持有风险暴露是否会产生损失为基础。多头风险头寸是指在违约情况下会导致损失的信用风险暴露头寸。</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d.</w:t>
      </w:r>
      <w:r>
        <w:rPr>
          <w:rFonts w:ascii="仿宋_GB2312" w:eastAsia="仿宋_GB2312" w:hint="eastAsia"/>
          <w:sz w:val="30"/>
          <w:szCs w:val="30"/>
        </w:rPr>
        <w:t>如果衍生工具的合同或条款允许平仓而不承担违约风险</w:t>
      </w:r>
      <w:r>
        <w:rPr>
          <w:rFonts w:ascii="仿宋_GB2312" w:eastAsia="仿宋_GB2312" w:hint="eastAsia"/>
          <w:sz w:val="30"/>
          <w:szCs w:val="30"/>
        </w:rPr>
        <w:t>,</w:t>
      </w:r>
      <w:r>
        <w:rPr>
          <w:rFonts w:ascii="仿宋_GB2312" w:eastAsia="仿宋_GB2312"/>
          <w:sz w:val="30"/>
          <w:szCs w:val="30"/>
        </w:rPr>
        <w:t xml:space="preserve"> </w:t>
      </w:r>
      <w:r>
        <w:rPr>
          <w:rFonts w:ascii="仿宋_GB2312" w:eastAsia="仿宋_GB2312" w:hint="eastAsia"/>
          <w:sz w:val="30"/>
          <w:szCs w:val="30"/>
        </w:rPr>
        <w:t>则违约风险等于零。</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lastRenderedPageBreak/>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）违约损失率定义如下：</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股票投资（含视为未评级股票的资产管理产品和指数型工具）、</w:t>
      </w:r>
      <w:proofErr w:type="gramStart"/>
      <w:r>
        <w:rPr>
          <w:rFonts w:ascii="仿宋_GB2312" w:eastAsia="仿宋_GB2312" w:hint="eastAsia"/>
          <w:sz w:val="30"/>
          <w:szCs w:val="30"/>
        </w:rPr>
        <w:t>非高级</w:t>
      </w:r>
      <w:proofErr w:type="gramEnd"/>
      <w:r>
        <w:rPr>
          <w:rFonts w:ascii="仿宋_GB2312" w:eastAsia="仿宋_GB2312" w:hint="eastAsia"/>
          <w:sz w:val="30"/>
          <w:szCs w:val="30"/>
        </w:rPr>
        <w:t>债务工具和已违约证券的</w:t>
      </w:r>
      <w:r>
        <w:rPr>
          <w:rFonts w:ascii="仿宋_GB2312" w:eastAsia="仿宋_GB2312" w:hint="eastAsia"/>
          <w:sz w:val="30"/>
          <w:szCs w:val="30"/>
        </w:rPr>
        <w:t>LGD</w:t>
      </w:r>
      <w:r>
        <w:rPr>
          <w:rFonts w:ascii="仿宋_GB2312" w:eastAsia="仿宋_GB2312" w:hint="eastAsia"/>
          <w:sz w:val="30"/>
          <w:szCs w:val="30"/>
        </w:rPr>
        <w:t>为</w:t>
      </w:r>
      <w:r>
        <w:rPr>
          <w:rFonts w:ascii="仿宋_GB2312" w:eastAsia="仿宋_GB2312" w:hint="eastAsia"/>
          <w:sz w:val="30"/>
          <w:szCs w:val="30"/>
        </w:rPr>
        <w:t>100%</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高级债务工具的</w:t>
      </w:r>
      <w:r>
        <w:rPr>
          <w:rFonts w:ascii="仿宋_GB2312" w:eastAsia="仿宋_GB2312" w:hint="eastAsia"/>
          <w:sz w:val="30"/>
          <w:szCs w:val="30"/>
        </w:rPr>
        <w:t>LGD</w:t>
      </w:r>
      <w:r>
        <w:rPr>
          <w:rFonts w:ascii="仿宋_GB2312" w:eastAsia="仿宋_GB2312" w:hint="eastAsia"/>
          <w:sz w:val="30"/>
          <w:szCs w:val="30"/>
        </w:rPr>
        <w:t>为</w:t>
      </w:r>
      <w:r>
        <w:rPr>
          <w:rFonts w:ascii="仿宋_GB2312" w:eastAsia="仿宋_GB2312" w:hint="eastAsia"/>
          <w:sz w:val="30"/>
          <w:szCs w:val="30"/>
        </w:rPr>
        <w:t>75%</w:t>
      </w:r>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c.</w:t>
      </w:r>
      <w:r>
        <w:rPr>
          <w:rFonts w:ascii="仿宋_GB2312" w:eastAsia="仿宋_GB2312" w:hint="eastAsia"/>
          <w:sz w:val="30"/>
          <w:szCs w:val="30"/>
        </w:rPr>
        <w:t>合格资产担保债券的</w:t>
      </w:r>
      <w:r>
        <w:rPr>
          <w:rFonts w:ascii="仿宋_GB2312" w:eastAsia="仿宋_GB2312" w:hint="eastAsia"/>
          <w:sz w:val="30"/>
          <w:szCs w:val="30"/>
        </w:rPr>
        <w:t>LGD</w:t>
      </w:r>
      <w:r>
        <w:rPr>
          <w:rFonts w:ascii="仿宋_GB2312" w:eastAsia="仿宋_GB2312" w:hint="eastAsia"/>
          <w:sz w:val="30"/>
          <w:szCs w:val="30"/>
        </w:rPr>
        <w:t>为</w:t>
      </w:r>
      <w:r>
        <w:rPr>
          <w:rFonts w:ascii="仿宋_GB2312" w:eastAsia="仿宋_GB2312" w:hint="eastAsia"/>
          <w:sz w:val="30"/>
          <w:szCs w:val="30"/>
        </w:rPr>
        <w:t>25%</w:t>
      </w:r>
      <w:r>
        <w:rPr>
          <w:rFonts w:ascii="仿宋_GB2312" w:eastAsia="仿宋_GB2312" w:hint="eastAsia"/>
          <w:sz w:val="30"/>
          <w:szCs w:val="30"/>
        </w:rPr>
        <w:t>。</w:t>
      </w:r>
      <w:r>
        <w:rPr>
          <w:rFonts w:ascii="仿宋_GB2312" w:eastAsia="仿宋_GB2312" w:hint="eastAsia"/>
          <w:sz w:val="30"/>
          <w:szCs w:val="30"/>
        </w:rPr>
        <w:t xml:space="preserve"> </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d.</w:t>
      </w:r>
      <w:r>
        <w:rPr>
          <w:rFonts w:ascii="仿宋_GB2312" w:eastAsia="仿宋_GB2312" w:hint="eastAsia"/>
          <w:sz w:val="30"/>
          <w:szCs w:val="30"/>
        </w:rPr>
        <w:t>当金融工具</w:t>
      </w:r>
      <w:r>
        <w:rPr>
          <w:rFonts w:ascii="仿宋_GB2312" w:eastAsia="仿宋_GB2312" w:hint="eastAsia"/>
          <w:sz w:val="30"/>
          <w:szCs w:val="30"/>
        </w:rPr>
        <w:t>的价格与违约回收率不相关时，无需将名义本金与</w:t>
      </w:r>
      <w:r>
        <w:rPr>
          <w:rFonts w:ascii="仿宋_GB2312" w:eastAsia="仿宋_GB2312" w:hint="eastAsia"/>
          <w:sz w:val="30"/>
          <w:szCs w:val="30"/>
        </w:rPr>
        <w:t>LGD</w:t>
      </w:r>
      <w:r>
        <w:rPr>
          <w:rFonts w:ascii="仿宋_GB2312" w:eastAsia="仿宋_GB2312"/>
          <w:sz w:val="30"/>
          <w:szCs w:val="30"/>
        </w:rPr>
        <w:t xml:space="preserve"> </w:t>
      </w:r>
      <w:r>
        <w:rPr>
          <w:rFonts w:ascii="仿宋_GB2312" w:eastAsia="仿宋_GB2312" w:hint="eastAsia"/>
          <w:sz w:val="30"/>
          <w:szCs w:val="30"/>
        </w:rPr>
        <w:t>相乘，违约风险头寸为名义本金和损益之</w:t>
      </w:r>
      <w:proofErr w:type="gramStart"/>
      <w:r>
        <w:rPr>
          <w:rFonts w:ascii="仿宋_GB2312" w:eastAsia="仿宋_GB2312" w:hint="eastAsia"/>
          <w:sz w:val="30"/>
          <w:szCs w:val="30"/>
        </w:rPr>
        <w:t>和</w:t>
      </w:r>
      <w:proofErr w:type="gramEnd"/>
      <w:r>
        <w:rPr>
          <w:rFonts w:ascii="仿宋_GB2312" w:eastAsia="仿宋_GB2312" w:hint="eastAsia"/>
          <w:sz w:val="30"/>
          <w:szCs w:val="30"/>
        </w:rPr>
        <w:t>。</w:t>
      </w:r>
    </w:p>
    <w:p w:rsidR="004165E8" w:rsidRDefault="00A108D9">
      <w:pPr>
        <w:widowControl/>
        <w:spacing w:line="480" w:lineRule="exact"/>
        <w:ind w:firstLineChars="200" w:firstLine="600"/>
        <w:rPr>
          <w:rFonts w:ascii="仿宋_GB2312" w:eastAsia="仿宋_GB2312" w:cs="仿宋_GB2312"/>
          <w:color w:val="000000"/>
          <w:kern w:val="0"/>
          <w:sz w:val="28"/>
          <w:szCs w:val="28"/>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）名义本金用于衡量违约时本金的损失，损益用于衡量净损失。表</w:t>
      </w:r>
      <w:r>
        <w:rPr>
          <w:rFonts w:ascii="仿宋_GB2312" w:eastAsia="仿宋_GB2312" w:cs="仿宋_GB2312" w:hint="eastAsia"/>
          <w:color w:val="000000"/>
          <w:kern w:val="0"/>
          <w:sz w:val="30"/>
          <w:szCs w:val="30"/>
          <w:shd w:val="clear" w:color="auto" w:fill="FFFFFF"/>
          <w:lang w:bidi="ar"/>
        </w:rPr>
        <w:t>13</w:t>
      </w:r>
      <w:r>
        <w:rPr>
          <w:rFonts w:ascii="仿宋_GB2312" w:eastAsia="仿宋_GB2312" w:cs="仿宋_GB2312" w:hint="eastAsia"/>
          <w:color w:val="000000"/>
          <w:kern w:val="0"/>
          <w:sz w:val="30"/>
          <w:szCs w:val="30"/>
          <w:shd w:val="clear" w:color="auto" w:fill="FFFFFF"/>
          <w:lang w:bidi="ar"/>
        </w:rPr>
        <w:t>为违约风险头寸的计算示例：</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 xml:space="preserve">13 </w:t>
      </w:r>
      <w:r>
        <w:rPr>
          <w:rFonts w:ascii="楷体_GB2312" w:eastAsia="楷体_GB2312" w:hint="eastAsia"/>
          <w:b/>
          <w:sz w:val="28"/>
          <w:szCs w:val="28"/>
        </w:rPr>
        <w:t>违约风险头寸示例</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835"/>
        <w:gridCol w:w="2126"/>
      </w:tblGrid>
      <w:tr w:rsidR="004165E8">
        <w:trPr>
          <w:trHeight w:val="351"/>
        </w:trPr>
        <w:tc>
          <w:tcPr>
            <w:tcW w:w="1985"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金融工具</w:t>
            </w:r>
          </w:p>
        </w:tc>
        <w:tc>
          <w:tcPr>
            <w:tcW w:w="1701"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名义本金</w:t>
            </w:r>
          </w:p>
        </w:tc>
        <w:tc>
          <w:tcPr>
            <w:tcW w:w="2835"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等价债券市场价值</w:t>
            </w:r>
          </w:p>
        </w:tc>
        <w:tc>
          <w:tcPr>
            <w:tcW w:w="2126"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损益</w:t>
            </w:r>
          </w:p>
        </w:tc>
      </w:tr>
      <w:tr w:rsidR="004165E8">
        <w:tc>
          <w:tcPr>
            <w:tcW w:w="1985"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债券</w:t>
            </w:r>
          </w:p>
        </w:tc>
        <w:tc>
          <w:tcPr>
            <w:tcW w:w="1701"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债券面值</w:t>
            </w:r>
          </w:p>
        </w:tc>
        <w:tc>
          <w:tcPr>
            <w:tcW w:w="2835"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债券市场价值</w:t>
            </w:r>
          </w:p>
        </w:tc>
        <w:tc>
          <w:tcPr>
            <w:tcW w:w="2126"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市场价值</w:t>
            </w:r>
            <w:r>
              <w:rPr>
                <w:rFonts w:ascii="宋体" w:hAnsi="宋体" w:cs="宋体" w:hint="eastAsia"/>
                <w:color w:val="000000"/>
                <w:sz w:val="24"/>
              </w:rPr>
              <w:t>-</w:t>
            </w:r>
            <w:r>
              <w:rPr>
                <w:rFonts w:ascii="宋体" w:hAnsi="宋体" w:cs="宋体" w:hint="eastAsia"/>
                <w:color w:val="000000"/>
                <w:sz w:val="24"/>
              </w:rPr>
              <w:t>面值</w:t>
            </w:r>
          </w:p>
        </w:tc>
      </w:tr>
      <w:tr w:rsidR="004165E8">
        <w:tc>
          <w:tcPr>
            <w:tcW w:w="1985"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信用违约互换</w:t>
            </w:r>
          </w:p>
        </w:tc>
        <w:tc>
          <w:tcPr>
            <w:tcW w:w="1701"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信用违约互换本金</w:t>
            </w:r>
          </w:p>
        </w:tc>
        <w:tc>
          <w:tcPr>
            <w:tcW w:w="2835"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信用违约互换本金</w:t>
            </w:r>
            <w:r>
              <w:rPr>
                <w:rFonts w:ascii="宋体" w:hAnsi="宋体" w:cs="宋体" w:hint="eastAsia"/>
                <w:color w:val="000000"/>
                <w:sz w:val="24"/>
              </w:rPr>
              <w:t>-</w:t>
            </w:r>
            <w:r>
              <w:rPr>
                <w:rFonts w:ascii="宋体" w:hAnsi="宋体" w:cs="宋体" w:hint="eastAsia"/>
                <w:color w:val="000000"/>
                <w:sz w:val="24"/>
              </w:rPr>
              <w:t>信用违约互换市场价值的绝对值</w:t>
            </w:r>
          </w:p>
        </w:tc>
        <w:tc>
          <w:tcPr>
            <w:tcW w:w="2126"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信用违约互换市场价值的负绝对值</w:t>
            </w:r>
          </w:p>
        </w:tc>
      </w:tr>
      <w:tr w:rsidR="004165E8">
        <w:tc>
          <w:tcPr>
            <w:tcW w:w="1985"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卖出债券看跌期权</w:t>
            </w:r>
          </w:p>
        </w:tc>
        <w:tc>
          <w:tcPr>
            <w:tcW w:w="1701"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期权本金</w:t>
            </w:r>
          </w:p>
        </w:tc>
        <w:tc>
          <w:tcPr>
            <w:tcW w:w="2835"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执行价格</w:t>
            </w:r>
            <w:r>
              <w:rPr>
                <w:rFonts w:ascii="宋体" w:hAnsi="宋体" w:cs="宋体" w:hint="eastAsia"/>
                <w:color w:val="000000"/>
                <w:sz w:val="24"/>
              </w:rPr>
              <w:t>-</w:t>
            </w:r>
            <w:r>
              <w:rPr>
                <w:rFonts w:ascii="宋体" w:hAnsi="宋体" w:cs="宋体" w:hint="eastAsia"/>
                <w:color w:val="000000"/>
                <w:sz w:val="24"/>
              </w:rPr>
              <w:t>期权市场价值的绝对值</w:t>
            </w:r>
          </w:p>
        </w:tc>
        <w:tc>
          <w:tcPr>
            <w:tcW w:w="2126"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（执行价格</w:t>
            </w:r>
            <w:r>
              <w:rPr>
                <w:rFonts w:ascii="宋体" w:hAnsi="宋体" w:cs="宋体" w:hint="eastAsia"/>
                <w:color w:val="000000"/>
                <w:sz w:val="24"/>
              </w:rPr>
              <w:t>-</w:t>
            </w:r>
            <w:r>
              <w:rPr>
                <w:rFonts w:ascii="宋体" w:hAnsi="宋体" w:cs="宋体" w:hint="eastAsia"/>
                <w:color w:val="000000"/>
                <w:sz w:val="24"/>
              </w:rPr>
              <w:t>期权市场价值的绝对值）</w:t>
            </w:r>
            <w:r>
              <w:rPr>
                <w:rFonts w:ascii="宋体" w:hAnsi="宋体" w:cs="宋体" w:hint="eastAsia"/>
                <w:color w:val="000000"/>
                <w:sz w:val="24"/>
              </w:rPr>
              <w:t>-</w:t>
            </w:r>
            <w:r>
              <w:rPr>
                <w:rFonts w:ascii="宋体" w:hAnsi="宋体" w:cs="宋体" w:hint="eastAsia"/>
                <w:color w:val="000000"/>
                <w:sz w:val="24"/>
              </w:rPr>
              <w:t>名义本金</w:t>
            </w:r>
          </w:p>
        </w:tc>
      </w:tr>
      <w:tr w:rsidR="004165E8">
        <w:tc>
          <w:tcPr>
            <w:tcW w:w="1985" w:type="dxa"/>
            <w:vAlign w:val="center"/>
          </w:tcPr>
          <w:p w:rsidR="004165E8" w:rsidRDefault="00A108D9">
            <w:pPr>
              <w:jc w:val="center"/>
              <w:rPr>
                <w:rFonts w:ascii="宋体" w:hAnsi="宋体" w:cs="宋体"/>
                <w:b/>
                <w:bCs/>
                <w:color w:val="000000"/>
                <w:sz w:val="24"/>
              </w:rPr>
            </w:pPr>
            <w:r>
              <w:rPr>
                <w:rFonts w:ascii="宋体" w:hAnsi="宋体" w:cs="宋体" w:hint="eastAsia"/>
                <w:b/>
                <w:bCs/>
                <w:color w:val="000000"/>
                <w:sz w:val="24"/>
              </w:rPr>
              <w:t>买入债券看涨期权</w:t>
            </w:r>
          </w:p>
        </w:tc>
        <w:tc>
          <w:tcPr>
            <w:tcW w:w="1701"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0</w:t>
            </w:r>
          </w:p>
        </w:tc>
        <w:tc>
          <w:tcPr>
            <w:tcW w:w="2835"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期权市场价值</w:t>
            </w:r>
          </w:p>
        </w:tc>
        <w:tc>
          <w:tcPr>
            <w:tcW w:w="2126" w:type="dxa"/>
            <w:vAlign w:val="center"/>
          </w:tcPr>
          <w:p w:rsidR="004165E8" w:rsidRDefault="00A108D9">
            <w:pPr>
              <w:jc w:val="center"/>
              <w:rPr>
                <w:rFonts w:ascii="宋体" w:hAnsi="宋体" w:cs="宋体"/>
                <w:color w:val="000000"/>
                <w:sz w:val="24"/>
              </w:rPr>
            </w:pPr>
            <w:r>
              <w:rPr>
                <w:rFonts w:ascii="宋体" w:hAnsi="宋体" w:cs="宋体" w:hint="eastAsia"/>
                <w:color w:val="000000"/>
                <w:sz w:val="24"/>
              </w:rPr>
              <w:t>期权市场价值</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）剩余期限在</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年以内风险暴露的违约风险，应按照</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年内的时间等比例对多头</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空头风险头寸进行期限调整，调整权重下限为</w:t>
      </w:r>
      <w:r>
        <w:rPr>
          <w:rFonts w:ascii="仿宋_GB2312" w:eastAsia="仿宋_GB2312" w:cs="仿宋_GB2312" w:hint="eastAsia"/>
          <w:color w:val="000000"/>
          <w:kern w:val="0"/>
          <w:sz w:val="30"/>
          <w:szCs w:val="30"/>
          <w:shd w:val="clear" w:color="auto" w:fill="FFFFFF"/>
          <w:lang w:bidi="ar"/>
        </w:rPr>
        <w:t>1/4</w:t>
      </w:r>
      <w:r>
        <w:rPr>
          <w:rFonts w:ascii="仿宋_GB2312" w:eastAsia="仿宋_GB2312" w:cs="仿宋_GB2312" w:hint="eastAsia"/>
          <w:color w:val="000000"/>
          <w:kern w:val="0"/>
          <w:sz w:val="30"/>
          <w:szCs w:val="30"/>
          <w:shd w:val="clear" w:color="auto" w:fill="FFFFFF"/>
          <w:lang w:bidi="ar"/>
        </w:rPr>
        <w:t>。股票的剩余期限可为</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个月或</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年以上。对于衍生工具敞口，应考虑衍生工具合约本身的期限而非标的工具的期限。</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）同一债务人的风险暴露在如下情况下可以抵消：</w:t>
      </w:r>
    </w:p>
    <w:p w:rsidR="004165E8" w:rsidRDefault="00A108D9">
      <w:pPr>
        <w:spacing w:line="480" w:lineRule="exact"/>
        <w:ind w:firstLineChars="200" w:firstLine="600"/>
        <w:rPr>
          <w:rFonts w:ascii="仿宋_GB2312" w:eastAsia="仿宋_GB2312"/>
          <w:sz w:val="30"/>
          <w:szCs w:val="30"/>
        </w:rPr>
      </w:pPr>
      <w:r>
        <w:rPr>
          <w:rFonts w:ascii="仿宋_GB2312" w:eastAsia="仿宋_GB2312"/>
          <w:sz w:val="30"/>
          <w:szCs w:val="30"/>
        </w:rPr>
        <w:t>a.</w:t>
      </w:r>
      <w:r>
        <w:rPr>
          <w:rFonts w:ascii="仿宋_GB2312" w:eastAsia="仿宋_GB2312" w:hint="eastAsia"/>
          <w:sz w:val="30"/>
          <w:szCs w:val="30"/>
        </w:rPr>
        <w:t>对于同一债务人而言，多头和空头风险头寸可以抵消。抵消仅限于空头风险头寸的优先级不高于多头风险头寸的优先级，如股票的空头头寸可以抵消债券的多头头寸，但债券的空头头寸不能抵消股票的多头头寸。</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b.</w:t>
      </w:r>
      <w:r>
        <w:rPr>
          <w:rFonts w:ascii="仿宋_GB2312" w:eastAsia="仿宋_GB2312" w:hint="eastAsia"/>
          <w:sz w:val="30"/>
          <w:szCs w:val="30"/>
        </w:rPr>
        <w:t>风险暴露剩余期限大于</w:t>
      </w:r>
      <w:r>
        <w:rPr>
          <w:rFonts w:ascii="仿宋_GB2312" w:eastAsia="仿宋_GB2312" w:hint="eastAsia"/>
          <w:sz w:val="30"/>
          <w:szCs w:val="30"/>
        </w:rPr>
        <w:t>1</w:t>
      </w:r>
      <w:r>
        <w:rPr>
          <w:rFonts w:ascii="仿宋_GB2312" w:eastAsia="仿宋_GB2312" w:hint="eastAsia"/>
          <w:sz w:val="30"/>
          <w:szCs w:val="30"/>
        </w:rPr>
        <w:t>年的可全额抵消。</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lastRenderedPageBreak/>
        <w:t>c.</w:t>
      </w:r>
      <w:r>
        <w:rPr>
          <w:rFonts w:ascii="仿宋_GB2312" w:eastAsia="仿宋_GB2312" w:hint="eastAsia"/>
          <w:sz w:val="30"/>
          <w:szCs w:val="30"/>
        </w:rPr>
        <w:t>风险暴露剩余期限小于</w:t>
      </w:r>
      <w:r>
        <w:rPr>
          <w:rFonts w:ascii="仿宋_GB2312" w:eastAsia="仿宋_GB2312" w:hint="eastAsia"/>
          <w:sz w:val="30"/>
          <w:szCs w:val="30"/>
        </w:rPr>
        <w:t>1</w:t>
      </w:r>
      <w:r>
        <w:rPr>
          <w:rFonts w:ascii="仿宋_GB2312" w:eastAsia="仿宋_GB2312" w:hint="eastAsia"/>
          <w:sz w:val="30"/>
          <w:szCs w:val="30"/>
        </w:rPr>
        <w:t>年，应进行期限调整。</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bookmarkStart w:id="19" w:name="_Hlk48835555"/>
      <w:r>
        <w:rPr>
          <w:rFonts w:ascii="仿宋_GB2312" w:eastAsia="仿宋_GB2312" w:hAnsi="黑体" w:hint="eastAsia"/>
          <w:bCs/>
          <w:sz w:val="30"/>
          <w:szCs w:val="30"/>
        </w:rPr>
        <w:t>.</w:t>
      </w:r>
      <w:r>
        <w:rPr>
          <w:rFonts w:ascii="仿宋_GB2312" w:eastAsia="仿宋_GB2312" w:hAnsi="黑体"/>
          <w:bCs/>
          <w:sz w:val="30"/>
          <w:szCs w:val="30"/>
        </w:rPr>
        <w:t>非证券化产品违约风险资本要求的计算</w:t>
      </w:r>
      <w:bookmarkEnd w:id="19"/>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）非证券化违约风险组分为公司、主权和地方政府。</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）对</w:t>
      </w:r>
      <w:proofErr w:type="gramStart"/>
      <w:r>
        <w:rPr>
          <w:rFonts w:ascii="仿宋_GB2312" w:eastAsia="仿宋_GB2312" w:cs="仿宋_GB2312" w:hint="eastAsia"/>
          <w:color w:val="000000"/>
          <w:kern w:val="0"/>
          <w:sz w:val="30"/>
          <w:szCs w:val="30"/>
          <w:shd w:val="clear" w:color="auto" w:fill="FFFFFF"/>
          <w:lang w:bidi="ar"/>
        </w:rPr>
        <w:t>冲效益</w:t>
      </w:r>
      <w:proofErr w:type="gramEnd"/>
      <w:r>
        <w:rPr>
          <w:rFonts w:ascii="仿宋_GB2312" w:eastAsia="仿宋_GB2312" w:cs="仿宋_GB2312" w:hint="eastAsia"/>
          <w:color w:val="000000"/>
          <w:kern w:val="0"/>
          <w:sz w:val="30"/>
          <w:szCs w:val="30"/>
          <w:shd w:val="clear" w:color="auto" w:fill="FFFFFF"/>
          <w:lang w:bidi="ar"/>
        </w:rPr>
        <w:t>比例</w:t>
      </w:r>
      <w:r>
        <w:rPr>
          <w:rFonts w:ascii="仿宋_GB2312" w:eastAsia="仿宋_GB2312" w:cs="仿宋_GB2312" w:hint="eastAsia"/>
          <w:color w:val="000000"/>
          <w:kern w:val="0"/>
          <w:sz w:val="30"/>
          <w:szCs w:val="30"/>
          <w:shd w:val="clear" w:color="auto" w:fill="FFFFFF"/>
          <w:lang w:bidi="ar"/>
        </w:rPr>
        <w:t>(HBR)</w:t>
      </w:r>
      <w:r>
        <w:rPr>
          <w:rFonts w:ascii="仿宋_GB2312" w:eastAsia="仿宋_GB2312" w:cs="仿宋_GB2312" w:hint="eastAsia"/>
          <w:color w:val="000000"/>
          <w:kern w:val="0"/>
          <w:sz w:val="30"/>
          <w:szCs w:val="30"/>
          <w:shd w:val="clear" w:color="auto" w:fill="FFFFFF"/>
          <w:lang w:bidi="ar"/>
        </w:rPr>
        <w:t>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32"/>
          <w:sz w:val="30"/>
          <w:szCs w:val="30"/>
        </w:rPr>
        <w:object w:dxaOrig="3800" w:dyaOrig="760">
          <v:shape id="_x0000_i1205" type="#_x0000_t75" style="width:190pt;height:38.15pt" o:ole="">
            <v:imagedata r:id="rId282" o:title=""/>
          </v:shape>
          <o:OLEObject Type="Embed" ProgID="Equation.DSMT4" ShapeID="_x0000_i1205" DrawAspect="Content" ObjectID="_1765373772" r:id="rId283"/>
        </w:objec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其中：</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sz w:val="30"/>
          <w:szCs w:val="30"/>
        </w:rPr>
        <w:t xml:space="preserve">a. </w:t>
      </w:r>
      <w:r>
        <w:rPr>
          <w:position w:val="-18"/>
          <w:sz w:val="30"/>
          <w:szCs w:val="30"/>
        </w:rPr>
        <w:object w:dxaOrig="1520" w:dyaOrig="453">
          <v:shape id="_x0000_i1206" type="#_x0000_t75" style="width:75.9pt;height:22.8pt" o:ole="">
            <v:imagedata r:id="rId284" o:title=""/>
          </v:shape>
          <o:OLEObject Type="Embed" ProgID="Equation.DSMT4" ShapeID="_x0000_i1206" DrawAspect="Content" ObjectID="_1765373773" r:id="rId285"/>
        </w:object>
      </w:r>
      <w:r>
        <w:rPr>
          <w:rFonts w:ascii="仿宋_GB2312" w:eastAsia="仿宋_GB2312" w:hint="eastAsia"/>
          <w:sz w:val="30"/>
          <w:szCs w:val="30"/>
        </w:rPr>
        <w:t>等于同一风险组下不同信用等级的所有违约风险净多头风险头寸简单加总。</w:t>
      </w:r>
    </w:p>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t>b.</w:t>
      </w:r>
      <w:proofErr w:type="gramEnd"/>
      <w:r>
        <w:rPr>
          <w:position w:val="-14"/>
          <w:sz w:val="30"/>
          <w:szCs w:val="30"/>
        </w:rPr>
        <w:object w:dxaOrig="1720" w:dyaOrig="440">
          <v:shape id="_x0000_i1207" type="#_x0000_t75" style="width:85.9pt;height:22.1pt" o:ole="">
            <v:imagedata r:id="rId286" o:title=""/>
          </v:shape>
          <o:OLEObject Type="Embed" ProgID="Equation.DSMT4" ShapeID="_x0000_i1207" DrawAspect="Content" ObjectID="_1765373774" r:id="rId287"/>
        </w:object>
      </w:r>
      <w:r>
        <w:rPr>
          <w:rFonts w:ascii="仿宋_GB2312" w:eastAsia="仿宋_GB2312" w:hint="eastAsia"/>
          <w:sz w:val="30"/>
          <w:szCs w:val="30"/>
        </w:rPr>
        <w:t>等于同一风险组下不同信用等级的所有违约风险净空头风险头寸绝对值的简单加总。</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）违约风险权重应根据非证券化工具发行主体的信用等级确定，权重设置见表</w:t>
      </w:r>
      <w:r>
        <w:rPr>
          <w:rFonts w:ascii="仿宋_GB2312" w:eastAsia="仿宋_GB2312" w:cs="仿宋_GB2312" w:hint="eastAsia"/>
          <w:color w:val="000000"/>
          <w:kern w:val="0"/>
          <w:sz w:val="30"/>
          <w:szCs w:val="30"/>
          <w:shd w:val="clear" w:color="auto" w:fill="FFFFFF"/>
          <w:lang w:bidi="ar"/>
        </w:rPr>
        <w:t>14</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jc w:val="center"/>
        <w:rPr>
          <w:rFonts w:ascii="楷体_GB2312" w:eastAsia="楷体_GB2312"/>
          <w:b/>
          <w:sz w:val="28"/>
          <w:szCs w:val="28"/>
        </w:rPr>
      </w:pPr>
      <w:r>
        <w:rPr>
          <w:rFonts w:ascii="楷体_GB2312" w:eastAsia="楷体_GB2312" w:hint="eastAsia"/>
          <w:b/>
          <w:sz w:val="28"/>
          <w:szCs w:val="28"/>
        </w:rPr>
        <w:t>表</w:t>
      </w:r>
      <w:r>
        <w:rPr>
          <w:rFonts w:ascii="楷体_GB2312" w:eastAsia="楷体_GB2312" w:hint="eastAsia"/>
          <w:b/>
          <w:sz w:val="28"/>
          <w:szCs w:val="28"/>
        </w:rPr>
        <w:t>14</w:t>
      </w:r>
      <w:r>
        <w:rPr>
          <w:rFonts w:ascii="楷体_GB2312" w:eastAsia="楷体_GB2312"/>
          <w:b/>
          <w:sz w:val="28"/>
          <w:szCs w:val="28"/>
        </w:rPr>
        <w:t xml:space="preserve"> </w:t>
      </w:r>
      <w:r>
        <w:rPr>
          <w:rFonts w:ascii="楷体_GB2312" w:eastAsia="楷体_GB2312" w:hint="eastAsia"/>
          <w:b/>
          <w:sz w:val="28"/>
          <w:szCs w:val="28"/>
        </w:rPr>
        <w:t>非证券化工具违约风险权重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4165E8">
        <w:tc>
          <w:tcPr>
            <w:tcW w:w="4261" w:type="dxa"/>
          </w:tcPr>
          <w:p w:rsidR="004165E8" w:rsidRDefault="00A108D9">
            <w:pPr>
              <w:jc w:val="center"/>
              <w:rPr>
                <w:rFonts w:ascii="宋体" w:hAnsi="宋体" w:cs="宋体"/>
                <w:b/>
                <w:bCs/>
                <w:color w:val="000000"/>
                <w:sz w:val="24"/>
              </w:rPr>
            </w:pPr>
            <w:r>
              <w:rPr>
                <w:rFonts w:ascii="宋体" w:hAnsi="宋体" w:cs="宋体" w:hint="eastAsia"/>
                <w:b/>
                <w:bCs/>
                <w:color w:val="000000"/>
                <w:sz w:val="24"/>
              </w:rPr>
              <w:t>信用等级</w:t>
            </w:r>
          </w:p>
        </w:tc>
        <w:tc>
          <w:tcPr>
            <w:tcW w:w="4261" w:type="dxa"/>
          </w:tcPr>
          <w:p w:rsidR="004165E8" w:rsidRDefault="00A108D9">
            <w:pPr>
              <w:jc w:val="center"/>
              <w:rPr>
                <w:rFonts w:ascii="宋体" w:hAnsi="宋体" w:cs="宋体"/>
                <w:b/>
                <w:bCs/>
                <w:color w:val="000000"/>
                <w:sz w:val="24"/>
              </w:rPr>
            </w:pPr>
            <w:r>
              <w:rPr>
                <w:rFonts w:ascii="宋体" w:hAnsi="宋体" w:cs="宋体" w:hint="eastAsia"/>
                <w:b/>
                <w:bCs/>
                <w:color w:val="000000"/>
                <w:sz w:val="24"/>
              </w:rPr>
              <w:t>违约风险权重</w:t>
            </w:r>
          </w:p>
        </w:tc>
      </w:tr>
      <w:tr w:rsidR="004165E8">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AAA</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0.5%</w:t>
            </w:r>
          </w:p>
        </w:tc>
      </w:tr>
      <w:tr w:rsidR="004165E8">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AA</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2%</w:t>
            </w:r>
          </w:p>
        </w:tc>
      </w:tr>
      <w:tr w:rsidR="004165E8">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A</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3%</w:t>
            </w:r>
          </w:p>
        </w:tc>
      </w:tr>
      <w:tr w:rsidR="004165E8">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BBB</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6%</w:t>
            </w:r>
          </w:p>
        </w:tc>
      </w:tr>
      <w:tr w:rsidR="004165E8">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BB</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15%</w:t>
            </w:r>
          </w:p>
        </w:tc>
      </w:tr>
      <w:tr w:rsidR="004165E8">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B</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30%</w:t>
            </w:r>
          </w:p>
        </w:tc>
      </w:tr>
      <w:tr w:rsidR="004165E8">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CCC</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50%</w:t>
            </w:r>
          </w:p>
        </w:tc>
      </w:tr>
      <w:tr w:rsidR="004165E8">
        <w:trPr>
          <w:trHeight w:val="90"/>
        </w:trPr>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未评级</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15%</w:t>
            </w:r>
          </w:p>
        </w:tc>
      </w:tr>
      <w:tr w:rsidR="004165E8">
        <w:trPr>
          <w:trHeight w:val="90"/>
        </w:trPr>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违约</w:t>
            </w:r>
          </w:p>
        </w:tc>
        <w:tc>
          <w:tcPr>
            <w:tcW w:w="4261" w:type="dxa"/>
          </w:tcPr>
          <w:p w:rsidR="004165E8" w:rsidRDefault="00A108D9">
            <w:pPr>
              <w:jc w:val="center"/>
              <w:rPr>
                <w:rFonts w:ascii="宋体" w:hAnsi="宋体" w:cs="宋体"/>
                <w:color w:val="000000"/>
                <w:sz w:val="24"/>
              </w:rPr>
            </w:pPr>
            <w:r>
              <w:rPr>
                <w:rFonts w:ascii="宋体" w:hAnsi="宋体" w:cs="宋体" w:hint="eastAsia"/>
                <w:color w:val="000000"/>
                <w:sz w:val="24"/>
              </w:rPr>
              <w:t>100%</w:t>
            </w:r>
          </w:p>
        </w:tc>
      </w:tr>
    </w:tbl>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）每个风险组的违约风险资本要求计算公式如下：</w:t>
      </w:r>
      <w:r>
        <w:rPr>
          <w:rFonts w:ascii="仿宋_GB2312" w:eastAsia="仿宋_GB2312" w:cs="仿宋_GB2312" w:hint="eastAsia"/>
          <w:color w:val="000000"/>
          <w:kern w:val="0"/>
          <w:sz w:val="30"/>
          <w:szCs w:val="30"/>
          <w:shd w:val="clear" w:color="auto" w:fill="FFFFFF"/>
          <w:lang w:bidi="ar"/>
        </w:rPr>
        <w:t xml:space="preserve"> </w:t>
      </w:r>
    </w:p>
    <w:p w:rsidR="004165E8" w:rsidRDefault="00A108D9">
      <w:pPr>
        <w:jc w:val="center"/>
        <w:rPr>
          <w:rFonts w:ascii="仿宋_GB2312" w:eastAsia="仿宋_GB2312" w:hAnsi="Cambria Math"/>
          <w:iCs/>
          <w:sz w:val="24"/>
        </w:rPr>
      </w:pPr>
      <m:oMathPara>
        <m:oMath>
          <m:r>
            <w:rPr>
              <w:rFonts w:ascii="Cambria Math" w:eastAsia="仿宋_GB2312" w:hAnsi="Cambria Math"/>
              <w:sz w:val="24"/>
            </w:rPr>
            <m:t>DR</m:t>
          </m:r>
          <m:sSub>
            <m:sSubPr>
              <m:ctrlPr>
                <w:rPr>
                  <w:rFonts w:ascii="Cambria Math" w:eastAsia="仿宋_GB2312" w:hAnsi="Cambria Math" w:hint="eastAsia"/>
                  <w:i/>
                  <w:sz w:val="24"/>
                </w:rPr>
              </m:ctrlPr>
            </m:sSubPr>
            <m:e>
              <m:r>
                <w:rPr>
                  <w:rFonts w:ascii="Cambria Math" w:eastAsia="仿宋_GB2312" w:hAnsi="Cambria Math"/>
                  <w:sz w:val="24"/>
                </w:rPr>
                <m:t>C</m:t>
              </m:r>
            </m:e>
            <m:sub>
              <m:r>
                <w:rPr>
                  <w:rFonts w:ascii="Cambria Math" w:eastAsia="仿宋_GB2312" w:hAnsi="Cambria Math"/>
                  <w:sz w:val="24"/>
                </w:rPr>
                <m:t>b</m:t>
              </m:r>
            </m:sub>
          </m:sSub>
          <m:r>
            <w:rPr>
              <w:rFonts w:ascii="Cambria Math" w:eastAsia="仿宋_GB2312" w:hAnsi="Cambria Math"/>
              <w:sz w:val="24"/>
            </w:rPr>
            <m:t>=</m:t>
          </m:r>
          <m:func>
            <m:funcPr>
              <m:ctrlPr>
                <w:rPr>
                  <w:rFonts w:ascii="Cambria Math" w:eastAsia="仿宋_GB2312" w:hAnsi="Cambria Math" w:hint="eastAsia"/>
                  <w:i/>
                  <w:sz w:val="24"/>
                </w:rPr>
              </m:ctrlPr>
            </m:funcPr>
            <m:fName>
              <m:r>
                <w:rPr>
                  <w:rFonts w:ascii="Cambria Math" w:eastAsia="仿宋_GB2312" w:hAnsi="Cambria Math"/>
                  <w:sz w:val="24"/>
                </w:rPr>
                <m:t>max</m:t>
              </m:r>
            </m:fName>
            <m:e>
              <m:d>
                <m:dPr>
                  <m:begChr m:val="["/>
                  <m:endChr m:val="]"/>
                  <m:ctrlPr>
                    <w:rPr>
                      <w:rFonts w:ascii="Cambria Math" w:eastAsia="仿宋_GB2312" w:hAnsi="Cambria Math" w:hint="eastAsia"/>
                      <w:i/>
                      <w:sz w:val="24"/>
                    </w:rPr>
                  </m:ctrlPr>
                </m:dPr>
                <m:e>
                  <m:d>
                    <m:dPr>
                      <m:ctrlPr>
                        <w:rPr>
                          <w:rFonts w:ascii="Cambria Math" w:eastAsia="仿宋_GB2312" w:hAnsi="Cambria Math" w:hint="eastAsia"/>
                          <w:i/>
                          <w:sz w:val="24"/>
                        </w:rPr>
                      </m:ctrlPr>
                    </m:dPr>
                    <m:e>
                      <m:limLow>
                        <m:limLowPr>
                          <m:ctrlPr>
                            <w:rPr>
                              <w:rFonts w:ascii="Cambria Math" w:eastAsia="仿宋_GB2312" w:hAnsi="Cambria Math" w:hint="eastAsia"/>
                              <w:i/>
                              <w:sz w:val="24"/>
                            </w:rPr>
                          </m:ctrlPr>
                        </m:limLowPr>
                        <m:e>
                          <m:r>
                            <w:rPr>
                              <w:rFonts w:ascii="Cambria Math" w:eastAsia="仿宋_GB2312" w:hAnsi="Cambria Math" w:hint="eastAsia"/>
                              <w:sz w:val="24"/>
                            </w:rPr>
                            <m:t>∑</m:t>
                          </m:r>
                        </m:e>
                        <m:lim>
                          <m:r>
                            <w:rPr>
                              <w:rFonts w:ascii="Cambria Math" w:eastAsia="仿宋_GB2312" w:hAnsi="Cambria Math"/>
                              <w:sz w:val="24"/>
                            </w:rPr>
                            <m:t>i</m:t>
                          </m:r>
                          <m:r>
                            <w:rPr>
                              <w:rFonts w:ascii="Cambria Math" w:eastAsia="仿宋_GB2312" w:hAnsi="Cambria Math" w:cs="宋体" w:hint="eastAsia"/>
                              <w:sz w:val="24"/>
                            </w:rPr>
                            <m:t>∈</m:t>
                          </m:r>
                          <m:r>
                            <m:rPr>
                              <m:nor/>
                            </m:rPr>
                            <w:rPr>
                              <w:rFonts w:ascii="仿宋_GB2312" w:eastAsia="仿宋_GB2312"/>
                              <w:sz w:val="24"/>
                            </w:rPr>
                            <m:t>Long</m:t>
                          </m:r>
                          <m:ctrlPr>
                            <w:rPr>
                              <w:rFonts w:ascii="Cambria Math" w:eastAsia="仿宋_GB2312" w:hAnsi="Cambria Math" w:hint="eastAsia"/>
                              <w:sz w:val="24"/>
                            </w:rPr>
                          </m:ctrlPr>
                        </m:lim>
                      </m:limLow>
                      <m:r>
                        <w:rPr>
                          <w:rFonts w:ascii="Cambria Math" w:eastAsia="仿宋_GB2312" w:hAnsi="Cambria Math"/>
                          <w:sz w:val="24"/>
                        </w:rPr>
                        <m:t>R</m:t>
                      </m:r>
                      <m:sSub>
                        <m:sSubPr>
                          <m:ctrlPr>
                            <w:rPr>
                              <w:rFonts w:ascii="Cambria Math" w:eastAsia="仿宋_GB2312" w:hAnsi="Cambria Math" w:hint="eastAsia"/>
                              <w:i/>
                              <w:sz w:val="24"/>
                            </w:rPr>
                          </m:ctrlPr>
                        </m:sSubPr>
                        <m:e>
                          <m:r>
                            <w:rPr>
                              <w:rFonts w:ascii="Cambria Math" w:eastAsia="仿宋_GB2312" w:hAnsi="Cambria Math"/>
                              <w:sz w:val="24"/>
                            </w:rPr>
                            <m:t>W</m:t>
                          </m:r>
                        </m:e>
                        <m:sub>
                          <m:r>
                            <w:rPr>
                              <w:rFonts w:ascii="Cambria Math" w:eastAsia="仿宋_GB2312" w:hAnsi="Cambria Math"/>
                              <w:sz w:val="24"/>
                            </w:rPr>
                            <m:t>i</m:t>
                          </m:r>
                        </m:sub>
                      </m:sSub>
                      <m:r>
                        <m:rPr>
                          <m:sty m:val="p"/>
                        </m:rPr>
                        <w:rPr>
                          <w:rFonts w:ascii="Cambria Math" w:eastAsia="仿宋_GB2312" w:hAnsi="Cambria Math" w:cs="仿宋_GB2312" w:hint="eastAsia"/>
                          <w:color w:val="000000"/>
                          <w:kern w:val="0"/>
                          <w:sz w:val="24"/>
                          <w:shd w:val="clear" w:color="auto" w:fill="FFFFFF"/>
                          <w:lang w:bidi="ar"/>
                        </w:rPr>
                        <m:t>×</m:t>
                      </m:r>
                      <m:r>
                        <w:rPr>
                          <w:rFonts w:ascii="Cambria Math" w:eastAsia="仿宋_GB2312" w:hAnsi="Cambria Math"/>
                          <w:sz w:val="24"/>
                        </w:rPr>
                        <m:t>netJT</m:t>
                      </m:r>
                      <m:sSub>
                        <m:sSubPr>
                          <m:ctrlPr>
                            <w:rPr>
                              <w:rFonts w:ascii="Cambria Math" w:eastAsia="仿宋_GB2312" w:hAnsi="Cambria Math" w:hint="eastAsia"/>
                              <w:i/>
                              <w:sz w:val="24"/>
                            </w:rPr>
                          </m:ctrlPr>
                        </m:sSubPr>
                        <m:e>
                          <m:r>
                            <w:rPr>
                              <w:rFonts w:ascii="Cambria Math" w:eastAsia="仿宋_GB2312" w:hAnsi="Cambria Math"/>
                              <w:sz w:val="24"/>
                            </w:rPr>
                            <m:t>D</m:t>
                          </m:r>
                        </m:e>
                        <m:sub>
                          <m:r>
                            <w:rPr>
                              <w:rFonts w:ascii="Cambria Math" w:eastAsia="仿宋_GB2312" w:hAnsi="Cambria Math"/>
                              <w:sz w:val="24"/>
                            </w:rPr>
                            <m:t>i</m:t>
                          </m:r>
                        </m:sub>
                      </m:sSub>
                    </m:e>
                  </m:d>
                  <m:r>
                    <w:rPr>
                      <w:rFonts w:ascii="微软雅黑" w:eastAsia="微软雅黑" w:hAnsi="微软雅黑" w:cs="微软雅黑"/>
                      <w:sz w:val="24"/>
                    </w:rPr>
                    <m:t>-</m:t>
                  </m:r>
                  <m:r>
                    <m:rPr>
                      <m:nor/>
                    </m:rPr>
                    <w:rPr>
                      <w:rFonts w:ascii="仿宋_GB2312" w:eastAsia="仿宋_GB2312"/>
                      <w:sz w:val="24"/>
                    </w:rPr>
                    <m:t>HBR</m:t>
                  </m:r>
                  <m:r>
                    <m:rPr>
                      <m:nor/>
                    </m:rPr>
                    <w:rPr>
                      <w:rFonts w:ascii="仿宋_GB2312" w:eastAsia="仿宋_GB2312" w:cs="仿宋_GB2312" w:hint="eastAsia"/>
                      <w:color w:val="000000"/>
                      <w:kern w:val="0"/>
                      <w:sz w:val="24"/>
                      <w:shd w:val="clear" w:color="auto" w:fill="FFFFFF"/>
                      <w:lang w:bidi="ar"/>
                    </w:rPr>
                    <m:t>×</m:t>
                  </m:r>
                  <m:d>
                    <m:dPr>
                      <m:ctrlPr>
                        <w:rPr>
                          <w:rFonts w:ascii="Cambria Math" w:eastAsia="仿宋_GB2312" w:hAnsi="Cambria Math" w:hint="eastAsia"/>
                          <w:i/>
                          <w:sz w:val="24"/>
                        </w:rPr>
                      </m:ctrlPr>
                    </m:dPr>
                    <m:e>
                      <m:limLow>
                        <m:limLowPr>
                          <m:ctrlPr>
                            <w:rPr>
                              <w:rFonts w:ascii="Cambria Math" w:eastAsia="仿宋_GB2312" w:hAnsi="Cambria Math" w:hint="eastAsia"/>
                              <w:i/>
                              <w:sz w:val="24"/>
                            </w:rPr>
                          </m:ctrlPr>
                        </m:limLowPr>
                        <m:e>
                          <m:nary>
                            <m:naryPr>
                              <m:chr m:val="∑"/>
                              <m:subHide m:val="1"/>
                              <m:supHide m:val="1"/>
                              <m:ctrlPr>
                                <w:rPr>
                                  <w:rFonts w:ascii="Cambria Math" w:eastAsia="仿宋_GB2312" w:hAnsi="Cambria Math" w:hint="eastAsia"/>
                                  <w:i/>
                                  <w:sz w:val="24"/>
                                </w:rPr>
                              </m:ctrlPr>
                            </m:naryPr>
                            <m:sub/>
                            <m:sup/>
                            <m:e>
                              <m:r>
                                <w:rPr>
                                  <w:rFonts w:ascii="Cambria Math" w:eastAsia="仿宋_GB2312" w:hAnsi="Cambria Math"/>
                                  <w:sz w:val="24"/>
                                </w:rPr>
                                <m:t>R</m:t>
                              </m:r>
                              <m:sSub>
                                <m:sSubPr>
                                  <m:ctrlPr>
                                    <w:rPr>
                                      <w:rFonts w:ascii="Cambria Math" w:eastAsia="仿宋_GB2312" w:hAnsi="Cambria Math" w:hint="eastAsia"/>
                                      <w:i/>
                                      <w:sz w:val="24"/>
                                    </w:rPr>
                                  </m:ctrlPr>
                                </m:sSubPr>
                                <m:e>
                                  <m:r>
                                    <w:rPr>
                                      <w:rFonts w:ascii="Cambria Math" w:eastAsia="仿宋_GB2312" w:hAnsi="Cambria Math"/>
                                      <w:sz w:val="24"/>
                                    </w:rPr>
                                    <m:t>W</m:t>
                                  </m:r>
                                </m:e>
                                <m:sub>
                                  <m:r>
                                    <w:rPr>
                                      <w:rFonts w:ascii="Cambria Math" w:eastAsia="仿宋_GB2312" w:hAnsi="Cambria Math"/>
                                      <w:sz w:val="24"/>
                                    </w:rPr>
                                    <m:t>i</m:t>
                                  </m:r>
                                </m:sub>
                              </m:sSub>
                            </m:e>
                          </m:nary>
                        </m:e>
                        <m:lim>
                          <m:r>
                            <w:rPr>
                              <w:rFonts w:ascii="Cambria Math" w:eastAsia="仿宋_GB2312" w:hAnsi="Cambria Math"/>
                              <w:sz w:val="24"/>
                            </w:rPr>
                            <m:t>i</m:t>
                          </m:r>
                          <m:r>
                            <w:rPr>
                              <w:rFonts w:ascii="Cambria Math" w:eastAsia="仿宋_GB2312" w:hAnsi="Cambria Math" w:cs="宋体" w:hint="eastAsia"/>
                              <w:sz w:val="24"/>
                            </w:rPr>
                            <m:t>∈</m:t>
                          </m:r>
                          <m:r>
                            <m:rPr>
                              <m:nor/>
                            </m:rPr>
                            <w:rPr>
                              <w:rFonts w:ascii="仿宋_GB2312" w:eastAsia="仿宋_GB2312"/>
                              <w:sz w:val="24"/>
                            </w:rPr>
                            <m:t>Short</m:t>
                          </m:r>
                          <m:ctrlPr>
                            <w:rPr>
                              <w:rFonts w:ascii="Cambria Math" w:eastAsia="仿宋_GB2312" w:hAnsi="Cambria Math" w:hint="eastAsia"/>
                              <w:sz w:val="24"/>
                            </w:rPr>
                          </m:ctrlPr>
                        </m:lim>
                      </m:limLow>
                      <m:r>
                        <m:rPr>
                          <m:sty m:val="p"/>
                        </m:rPr>
                        <w:rPr>
                          <w:rFonts w:ascii="Cambria Math" w:eastAsia="仿宋_GB2312" w:hAnsi="Cambria Math" w:cs="仿宋_GB2312" w:hint="eastAsia"/>
                          <w:color w:val="000000"/>
                          <w:kern w:val="0"/>
                          <w:sz w:val="24"/>
                          <w:shd w:val="clear" w:color="auto" w:fill="FFFFFF"/>
                          <w:lang w:bidi="ar"/>
                        </w:rPr>
                        <m:t>×</m:t>
                      </m:r>
                      <m:r>
                        <w:rPr>
                          <w:rFonts w:ascii="微软雅黑" w:eastAsia="微软雅黑" w:hAnsi="微软雅黑" w:cs="微软雅黑" w:hint="eastAsia"/>
                          <w:sz w:val="24"/>
                        </w:rPr>
                        <m:t>∣</m:t>
                      </m:r>
                      <m:r>
                        <w:rPr>
                          <w:rFonts w:ascii="Cambria Math" w:eastAsia="仿宋_GB2312" w:hAnsi="Cambria Math"/>
                          <w:sz w:val="24"/>
                        </w:rPr>
                        <m:t>netJT</m:t>
                      </m:r>
                      <m:sSub>
                        <m:sSubPr>
                          <m:ctrlPr>
                            <w:rPr>
                              <w:rFonts w:ascii="Cambria Math" w:eastAsia="仿宋_GB2312" w:hAnsi="Cambria Math" w:hint="eastAsia"/>
                              <w:sz w:val="24"/>
                            </w:rPr>
                          </m:ctrlPr>
                        </m:sSubPr>
                        <m:e>
                          <m:r>
                            <w:rPr>
                              <w:rFonts w:ascii="Cambria Math" w:eastAsia="仿宋_GB2312" w:hAnsi="Cambria Math"/>
                              <w:sz w:val="24"/>
                            </w:rPr>
                            <m:t>D</m:t>
                          </m:r>
                        </m:e>
                        <m:sub>
                          <m:r>
                            <w:rPr>
                              <w:rFonts w:ascii="Cambria Math" w:eastAsia="仿宋_GB2312" w:hAnsi="Cambria Math"/>
                              <w:sz w:val="24"/>
                            </w:rPr>
                            <m:t>i</m:t>
                          </m:r>
                          <m:ctrlPr>
                            <w:rPr>
                              <w:rFonts w:ascii="Cambria Math" w:eastAsia="仿宋_GB2312" w:hAnsi="Cambria Math" w:hint="eastAsia"/>
                              <w:i/>
                              <w:sz w:val="24"/>
                            </w:rPr>
                          </m:ctrlPr>
                        </m:sub>
                      </m:sSub>
                      <m:r>
                        <w:rPr>
                          <w:rFonts w:ascii="微软雅黑" w:eastAsia="微软雅黑" w:hAnsi="微软雅黑" w:cs="微软雅黑" w:hint="eastAsia"/>
                          <w:sz w:val="24"/>
                        </w:rPr>
                        <m:t>∣</m:t>
                      </m:r>
                    </m:e>
                  </m:d>
                  <m:r>
                    <w:rPr>
                      <w:rFonts w:ascii="Cambria Math" w:eastAsia="仿宋_GB2312" w:hAnsi="Cambria Math"/>
                      <w:sz w:val="24"/>
                    </w:rPr>
                    <m:t>,0</m:t>
                  </m:r>
                </m:e>
              </m:d>
            </m:e>
          </m:func>
        </m:oMath>
      </m:oMathPara>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其中：</w:t>
      </w:r>
      <w:r>
        <w:rPr>
          <w:rFonts w:ascii="仿宋_GB2312" w:eastAsia="仿宋_GB2312" w:cs="仿宋_GB2312"/>
          <w:color w:val="000000"/>
          <w:kern w:val="0"/>
          <w:sz w:val="30"/>
          <w:szCs w:val="30"/>
          <w:shd w:val="clear" w:color="auto" w:fill="FFFFFF"/>
          <w:lang w:bidi="ar"/>
        </w:rPr>
        <w:t>i</w:t>
      </w:r>
      <w:r>
        <w:rPr>
          <w:rFonts w:ascii="仿宋_GB2312" w:eastAsia="仿宋_GB2312" w:cs="仿宋_GB2312" w:hint="eastAsia"/>
          <w:color w:val="000000"/>
          <w:kern w:val="0"/>
          <w:sz w:val="30"/>
          <w:szCs w:val="30"/>
          <w:shd w:val="clear" w:color="auto" w:fill="FFFFFF"/>
          <w:lang w:bidi="ar"/>
        </w:rPr>
        <w:t>为风险组</w:t>
      </w:r>
      <w:r>
        <w:rPr>
          <w:rFonts w:ascii="仿宋_GB2312" w:eastAsia="仿宋_GB2312" w:cs="仿宋_GB2312" w:hint="eastAsia"/>
          <w:color w:val="000000"/>
          <w:kern w:val="0"/>
          <w:sz w:val="30"/>
          <w:szCs w:val="30"/>
          <w:shd w:val="clear" w:color="auto" w:fill="FFFFFF"/>
          <w:lang w:bidi="ar"/>
        </w:rPr>
        <w:t>b</w:t>
      </w:r>
      <w:r>
        <w:rPr>
          <w:rFonts w:ascii="仿宋_GB2312" w:eastAsia="仿宋_GB2312" w:cs="仿宋_GB2312" w:hint="eastAsia"/>
          <w:color w:val="000000"/>
          <w:kern w:val="0"/>
          <w:sz w:val="30"/>
          <w:szCs w:val="30"/>
          <w:shd w:val="clear" w:color="auto" w:fill="FFFFFF"/>
          <w:lang w:bidi="ar"/>
        </w:rPr>
        <w:t>的金融工具。</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）非证券化违约风险资本要求为各个风险组的资本要求简单加总。</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lastRenderedPageBreak/>
        <w:t>（三）</w:t>
      </w:r>
      <w:bookmarkStart w:id="20" w:name="_Hlk48835305"/>
      <w:r>
        <w:rPr>
          <w:rFonts w:ascii="楷体_GB2312" w:eastAsia="楷体_GB2312" w:hAnsi="黑体" w:hint="eastAsia"/>
          <w:bCs/>
          <w:sz w:val="30"/>
          <w:szCs w:val="30"/>
        </w:rPr>
        <w:t>非相关性交易组合证券化违约风险资本要求</w:t>
      </w:r>
      <w:bookmarkEnd w:id="20"/>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bookmarkStart w:id="21" w:name="_Hlk48835567"/>
      <w:r>
        <w:rPr>
          <w:rFonts w:ascii="仿宋_GB2312" w:eastAsia="仿宋_GB2312" w:hAnsi="黑体" w:hint="eastAsia"/>
          <w:bCs/>
          <w:sz w:val="30"/>
          <w:szCs w:val="30"/>
        </w:rPr>
        <w:t>.</w:t>
      </w:r>
      <w:r>
        <w:rPr>
          <w:rFonts w:ascii="仿宋_GB2312" w:eastAsia="仿宋_GB2312" w:hAnsi="黑体"/>
          <w:bCs/>
          <w:sz w:val="30"/>
          <w:szCs w:val="30"/>
        </w:rPr>
        <w:t>违约风险的总头寸和净头寸</w:t>
      </w:r>
      <w:bookmarkEnd w:id="21"/>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）违约风险头寸是证券化风险暴露的市场价值。</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）非相关性交易组合证券化基础资产头寸或未分</w:t>
      </w:r>
      <w:proofErr w:type="gramStart"/>
      <w:r>
        <w:rPr>
          <w:rFonts w:ascii="仿宋_GB2312" w:eastAsia="仿宋_GB2312" w:cs="仿宋_GB2312" w:hint="eastAsia"/>
          <w:color w:val="000000"/>
          <w:kern w:val="0"/>
          <w:sz w:val="30"/>
          <w:szCs w:val="30"/>
          <w:shd w:val="clear" w:color="auto" w:fill="FFFFFF"/>
          <w:lang w:bidi="ar"/>
        </w:rPr>
        <w:t>层级指数</w:t>
      </w:r>
      <w:proofErr w:type="gramEnd"/>
      <w:r>
        <w:rPr>
          <w:rFonts w:ascii="仿宋_GB2312" w:eastAsia="仿宋_GB2312" w:cs="仿宋_GB2312" w:hint="eastAsia"/>
          <w:color w:val="000000"/>
          <w:kern w:val="0"/>
          <w:sz w:val="30"/>
          <w:szCs w:val="30"/>
          <w:shd w:val="clear" w:color="auto" w:fill="FFFFFF"/>
          <w:lang w:bidi="ar"/>
        </w:rPr>
        <w:t>头寸可按比例分解</w:t>
      </w:r>
      <w:proofErr w:type="gramStart"/>
      <w:r>
        <w:rPr>
          <w:rFonts w:ascii="仿宋_GB2312" w:eastAsia="仿宋_GB2312" w:cs="仿宋_GB2312" w:hint="eastAsia"/>
          <w:color w:val="000000"/>
          <w:kern w:val="0"/>
          <w:sz w:val="30"/>
          <w:szCs w:val="30"/>
          <w:shd w:val="clear" w:color="auto" w:fill="FFFFFF"/>
          <w:lang w:bidi="ar"/>
        </w:rPr>
        <w:t>至相应</w:t>
      </w:r>
      <w:proofErr w:type="gramEnd"/>
      <w:r>
        <w:rPr>
          <w:rFonts w:ascii="仿宋_GB2312" w:eastAsia="仿宋_GB2312" w:cs="仿宋_GB2312" w:hint="eastAsia"/>
          <w:color w:val="000000"/>
          <w:kern w:val="0"/>
          <w:sz w:val="30"/>
          <w:szCs w:val="30"/>
          <w:shd w:val="clear" w:color="auto" w:fill="FFFFFF"/>
          <w:lang w:bidi="ar"/>
        </w:rPr>
        <w:t>层级，同时将基础资产从非证券化违约风险资本要求中剔除。</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）不同基础资产的证券化风险暴露之间不允许抵消，相同证券化投资组合的不同层级的证券化风险暴露之间不允许抵消。</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）除剩余期限外，其他属性都相同的证券化风险头寸可以抵消。通过分解能被完全复制的证券化风险暴露可以抵消。抵消规则与非证券化一致，详见本部分（二）</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bookmarkStart w:id="22" w:name="_Hlk48835575"/>
      <w:r>
        <w:rPr>
          <w:rFonts w:ascii="仿宋_GB2312" w:eastAsia="仿宋_GB2312" w:hAnsi="黑体" w:hint="eastAsia"/>
          <w:bCs/>
          <w:sz w:val="30"/>
          <w:szCs w:val="30"/>
        </w:rPr>
        <w:t>.</w:t>
      </w:r>
      <w:r>
        <w:rPr>
          <w:rFonts w:ascii="仿宋_GB2312" w:eastAsia="仿宋_GB2312" w:hAnsi="黑体"/>
          <w:bCs/>
          <w:sz w:val="30"/>
          <w:szCs w:val="30"/>
        </w:rPr>
        <w:t>非相关性交易组合证券化违约风险资本要求的计算</w:t>
      </w:r>
      <w:bookmarkEnd w:id="22"/>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）非相关性交易组合证券化违约风险组分为大型企业（不区分地</w:t>
      </w:r>
      <w:r>
        <w:rPr>
          <w:rFonts w:ascii="仿宋_GB2312" w:eastAsia="仿宋_GB2312" w:cs="仿宋_GB2312" w:hint="eastAsia"/>
          <w:color w:val="000000"/>
          <w:kern w:val="0"/>
          <w:sz w:val="30"/>
          <w:szCs w:val="30"/>
          <w:shd w:val="clear" w:color="auto" w:fill="FFFFFF"/>
          <w:lang w:bidi="ar"/>
        </w:rPr>
        <w:t>区）和其他分组。其他分组包含按</w:t>
      </w:r>
      <w:r>
        <w:rPr>
          <w:rFonts w:ascii="仿宋_GB2312" w:eastAsia="仿宋_GB2312" w:cs="仿宋_GB2312"/>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个资产类别和</w:t>
      </w:r>
      <w:r>
        <w:rPr>
          <w:rFonts w:ascii="仿宋_GB2312" w:eastAsia="仿宋_GB2312" w:cs="仿宋_GB2312"/>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个地区划分的</w:t>
      </w:r>
      <w:r>
        <w:rPr>
          <w:rFonts w:ascii="仿宋_GB2312" w:eastAsia="仿宋_GB2312" w:cs="仿宋_GB2312"/>
          <w:color w:val="000000"/>
          <w:kern w:val="0"/>
          <w:sz w:val="30"/>
          <w:szCs w:val="30"/>
          <w:shd w:val="clear" w:color="auto" w:fill="FFFFFF"/>
          <w:lang w:bidi="ar"/>
        </w:rPr>
        <w:t>44</w:t>
      </w:r>
      <w:r>
        <w:rPr>
          <w:rFonts w:ascii="仿宋_GB2312" w:eastAsia="仿宋_GB2312" w:cs="仿宋_GB2312" w:hint="eastAsia"/>
          <w:color w:val="000000"/>
          <w:kern w:val="0"/>
          <w:sz w:val="30"/>
          <w:szCs w:val="30"/>
          <w:shd w:val="clear" w:color="auto" w:fill="FFFFFF"/>
          <w:lang w:bidi="ar"/>
        </w:rPr>
        <w:t>个风险组。</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资产类别分为</w:t>
      </w:r>
      <w:r>
        <w:rPr>
          <w:rFonts w:ascii="仿宋_GB2312" w:eastAsia="仿宋_GB2312" w:cs="仿宋_GB2312"/>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个类，包括资产支持商业票据、汽车贷款</w:t>
      </w:r>
      <w:r>
        <w:rPr>
          <w:rFonts w:ascii="仿宋_GB2312" w:eastAsia="仿宋_GB2312" w:cs="仿宋_GB2312"/>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汽车租赁、住房抵押贷款支持证券、信用卡、商业房地产抵押贷款支持证券、对公信贷资产支持证券、担保债务凭证平方、中小企业贷款、学生贷款、其他零售贷款和其他贷款。</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地区分为</w:t>
      </w:r>
      <w:r>
        <w:rPr>
          <w:rFonts w:ascii="仿宋_GB2312" w:eastAsia="仿宋_GB2312" w:cs="仿宋_GB2312"/>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类，包括亚洲、欧洲、北美洲及其他地区。</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商业银行应将非相关性交易组合证券化风险暴露划分到对应的风险组，每个证券化风险暴露只能划分到一个风险组。</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）对</w:t>
      </w:r>
      <w:proofErr w:type="gramStart"/>
      <w:r>
        <w:rPr>
          <w:rFonts w:ascii="仿宋_GB2312" w:eastAsia="仿宋_GB2312" w:cs="仿宋_GB2312" w:hint="eastAsia"/>
          <w:color w:val="000000"/>
          <w:kern w:val="0"/>
          <w:sz w:val="30"/>
          <w:szCs w:val="30"/>
          <w:shd w:val="clear" w:color="auto" w:fill="FFFFFF"/>
          <w:lang w:bidi="ar"/>
        </w:rPr>
        <w:t>冲效益</w:t>
      </w:r>
      <w:proofErr w:type="gramEnd"/>
      <w:r>
        <w:rPr>
          <w:rFonts w:ascii="仿宋_GB2312" w:eastAsia="仿宋_GB2312" w:cs="仿宋_GB2312" w:hint="eastAsia"/>
          <w:color w:val="000000"/>
          <w:kern w:val="0"/>
          <w:sz w:val="30"/>
          <w:szCs w:val="30"/>
          <w:shd w:val="clear" w:color="auto" w:fill="FFFFFF"/>
          <w:lang w:bidi="ar"/>
        </w:rPr>
        <w:t>比例公式和违约风险资本要求计算公式与非证券化违约风险资本要求一致，详见本部分（二）</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p>
    <w:p w:rsidR="004165E8" w:rsidRDefault="00A108D9">
      <w:pPr>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）违约风险权重取决于层级，根据本办法附件</w:t>
      </w:r>
      <w:r>
        <w:rPr>
          <w:rFonts w:ascii="仿宋_GB2312" w:eastAsia="仿宋_GB2312" w:cs="仿宋_GB2312"/>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中对应的风险权重除以</w:t>
      </w:r>
      <w:r>
        <w:rPr>
          <w:rFonts w:ascii="仿宋_GB2312" w:eastAsia="仿宋_GB2312" w:cs="仿宋_GB2312"/>
          <w:color w:val="000000"/>
          <w:kern w:val="0"/>
          <w:sz w:val="30"/>
          <w:szCs w:val="30"/>
          <w:shd w:val="clear" w:color="auto" w:fill="FFFFFF"/>
          <w:lang w:bidi="ar"/>
        </w:rPr>
        <w:t>12.5</w:t>
      </w:r>
      <w:r>
        <w:rPr>
          <w:rFonts w:ascii="仿宋_GB2312" w:eastAsia="仿宋_GB2312" w:cs="仿宋_GB2312" w:hint="eastAsia"/>
          <w:color w:val="000000"/>
          <w:kern w:val="0"/>
          <w:sz w:val="30"/>
          <w:szCs w:val="30"/>
          <w:shd w:val="clear" w:color="auto" w:fill="FFFFFF"/>
          <w:lang w:bidi="ar"/>
        </w:rPr>
        <w:t>确定，</w:t>
      </w:r>
      <w:r>
        <w:rPr>
          <w:rFonts w:ascii="仿宋_GB2312" w:eastAsia="仿宋_GB2312" w:cs="仿宋_GB2312" w:hint="eastAsia"/>
          <w:kern w:val="0"/>
          <w:sz w:val="30"/>
          <w:szCs w:val="30"/>
          <w:shd w:val="clear" w:color="auto" w:fill="FFFFFF"/>
          <w:lang w:bidi="ar"/>
        </w:rPr>
        <w:t>剩余期限设为</w:t>
      </w:r>
      <w:r>
        <w:rPr>
          <w:rFonts w:ascii="仿宋_GB2312" w:eastAsia="仿宋_GB2312" w:cs="仿宋_GB2312" w:hint="eastAsia"/>
          <w:kern w:val="0"/>
          <w:sz w:val="30"/>
          <w:szCs w:val="30"/>
          <w:shd w:val="clear" w:color="auto" w:fill="FFFFFF"/>
          <w:lang w:bidi="ar"/>
        </w:rPr>
        <w:t>1</w:t>
      </w:r>
      <w:r>
        <w:rPr>
          <w:rFonts w:ascii="仿宋_GB2312" w:eastAsia="仿宋_GB2312" w:cs="仿宋_GB2312" w:hint="eastAsia"/>
          <w:kern w:val="0"/>
          <w:sz w:val="30"/>
          <w:szCs w:val="30"/>
          <w:shd w:val="clear" w:color="auto" w:fill="FFFFFF"/>
          <w:lang w:bidi="ar"/>
        </w:rPr>
        <w:t>年。现</w:t>
      </w:r>
      <w:r>
        <w:rPr>
          <w:rFonts w:ascii="仿宋_GB2312" w:eastAsia="仿宋_GB2312" w:cs="仿宋_GB2312" w:hint="eastAsia"/>
          <w:color w:val="000000"/>
          <w:kern w:val="0"/>
          <w:sz w:val="30"/>
          <w:szCs w:val="30"/>
          <w:shd w:val="clear" w:color="auto" w:fill="FFFFFF"/>
          <w:lang w:bidi="ar"/>
        </w:rPr>
        <w:t>金证券化头寸</w:t>
      </w:r>
      <w:r>
        <w:rPr>
          <w:rFonts w:ascii="仿宋_GB2312" w:eastAsia="仿宋_GB2312" w:cs="仿宋_GB2312" w:hint="eastAsia"/>
          <w:color w:val="000000"/>
          <w:kern w:val="0"/>
          <w:sz w:val="30"/>
          <w:szCs w:val="30"/>
          <w:shd w:val="clear" w:color="auto" w:fill="FFFFFF"/>
          <w:lang w:bidi="ar"/>
        </w:rPr>
        <w:lastRenderedPageBreak/>
        <w:t>的资本要求上限为金融工具的公允价值。</w:t>
      </w:r>
    </w:p>
    <w:p w:rsidR="004165E8" w:rsidRDefault="00A108D9">
      <w:pPr>
        <w:widowControl/>
        <w:spacing w:line="480" w:lineRule="exact"/>
        <w:ind w:firstLineChars="200" w:firstLine="600"/>
        <w:rPr>
          <w:rFonts w:ascii="仿宋_GB2312" w:eastAsia="仿宋_GB2312"/>
          <w:sz w:val="30"/>
          <w:szCs w:val="30"/>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）非相关性交易组合证券化违约风险资本要求为各个风险组的资本要求简单加总。</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（四）</w:t>
      </w:r>
      <w:bookmarkStart w:id="23" w:name="_Hlk48835315"/>
      <w:r>
        <w:rPr>
          <w:rFonts w:ascii="楷体_GB2312" w:eastAsia="楷体_GB2312" w:hAnsi="黑体" w:hint="eastAsia"/>
          <w:bCs/>
          <w:sz w:val="30"/>
          <w:szCs w:val="30"/>
        </w:rPr>
        <w:t>相关性交易组合证券化违约风险资本要求</w:t>
      </w:r>
      <w:bookmarkEnd w:id="23"/>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1</w:t>
      </w:r>
      <w:bookmarkStart w:id="24" w:name="_Hlk48835586"/>
      <w:r>
        <w:rPr>
          <w:rFonts w:ascii="仿宋_GB2312" w:eastAsia="仿宋_GB2312" w:hAnsi="黑体" w:hint="eastAsia"/>
          <w:bCs/>
          <w:sz w:val="30"/>
          <w:szCs w:val="30"/>
        </w:rPr>
        <w:t>.</w:t>
      </w:r>
      <w:r>
        <w:rPr>
          <w:rFonts w:ascii="仿宋_GB2312" w:eastAsia="仿宋_GB2312" w:hAnsi="黑体"/>
          <w:bCs/>
          <w:sz w:val="30"/>
          <w:szCs w:val="30"/>
        </w:rPr>
        <w:t>违约风险的总头寸和净头寸</w:t>
      </w:r>
      <w:bookmarkEnd w:id="24"/>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）违约风险头寸是证券化风险暴露的市场价值。</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）相同指数或系列的不同层级的证券化风险暴露之间不允许抵消，相同指数的不同系列的证券化风险暴露之间不允许抵消，不同指数的证券化风险暴露之间不允许抵消。</w:t>
      </w:r>
      <w:r>
        <w:rPr>
          <w:rFonts w:ascii="仿宋_GB2312" w:eastAsia="仿宋_GB2312" w:cs="仿宋_GB2312" w:hint="eastAsia"/>
          <w:color w:val="000000"/>
          <w:kern w:val="0"/>
          <w:sz w:val="30"/>
          <w:szCs w:val="30"/>
          <w:shd w:val="clear" w:color="auto" w:fill="FFFFFF"/>
          <w:lang w:bidi="ar"/>
        </w:rPr>
        <w:t xml:space="preserve"> </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）除剩余期限外，其他属性都相同的证券化风险头寸可以抵消。抵消规则与非证券化一致，详见本部分（二）</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）。对于指数型金融工具，若指数类型、序列和层级完全相同，证券化风险暴露可以在不同期限间抵消。通过分解能被完全复制的证券化风险暴露可以抵消。</w:t>
      </w:r>
    </w:p>
    <w:p w:rsidR="004165E8" w:rsidRDefault="00A108D9">
      <w:pPr>
        <w:widowControl/>
        <w:spacing w:line="480" w:lineRule="exact"/>
        <w:ind w:firstLineChars="200" w:firstLine="600"/>
        <w:outlineLvl w:val="2"/>
        <w:rPr>
          <w:rFonts w:ascii="仿宋_GB2312" w:eastAsia="仿宋_GB2312" w:hAnsi="黑体"/>
          <w:bCs/>
          <w:sz w:val="30"/>
          <w:szCs w:val="30"/>
        </w:rPr>
      </w:pPr>
      <w:r>
        <w:rPr>
          <w:rFonts w:ascii="仿宋_GB2312" w:eastAsia="仿宋_GB2312" w:hAnsi="黑体"/>
          <w:bCs/>
          <w:sz w:val="30"/>
          <w:szCs w:val="30"/>
        </w:rPr>
        <w:t>2</w:t>
      </w:r>
      <w:bookmarkStart w:id="25" w:name="_Hlk48835593"/>
      <w:r>
        <w:rPr>
          <w:rFonts w:ascii="仿宋_GB2312" w:eastAsia="仿宋_GB2312" w:hAnsi="黑体" w:hint="eastAsia"/>
          <w:bCs/>
          <w:sz w:val="30"/>
          <w:szCs w:val="30"/>
        </w:rPr>
        <w:t>.</w:t>
      </w:r>
      <w:r>
        <w:rPr>
          <w:rFonts w:ascii="仿宋_GB2312" w:eastAsia="仿宋_GB2312" w:hAnsi="黑体"/>
          <w:bCs/>
          <w:sz w:val="30"/>
          <w:szCs w:val="30"/>
        </w:rPr>
        <w:t>相关性交易组合证券化违约风险资本要求的计算</w:t>
      </w:r>
    </w:p>
    <w:bookmarkEnd w:id="25"/>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w:t>
      </w:r>
      <w:bookmarkStart w:id="26" w:name="_Hlk71294899"/>
      <w:r>
        <w:rPr>
          <w:rFonts w:ascii="仿宋_GB2312" w:eastAsia="仿宋_GB2312" w:cs="仿宋_GB2312" w:hint="eastAsia"/>
          <w:color w:val="000000"/>
          <w:kern w:val="0"/>
          <w:sz w:val="30"/>
          <w:szCs w:val="30"/>
          <w:shd w:val="clear" w:color="auto" w:fill="FFFFFF"/>
          <w:lang w:bidi="ar"/>
        </w:rPr>
        <w:t>对于相关性交易组合证券化违约风险，每种指数为一个风险组。</w:t>
      </w:r>
      <w:r>
        <w:rPr>
          <w:rFonts w:ascii="仿宋_GB2312" w:eastAsia="仿宋_GB2312" w:cs="仿宋_GB2312" w:hint="eastAsia"/>
          <w:color w:val="000000"/>
          <w:kern w:val="0"/>
          <w:sz w:val="30"/>
          <w:szCs w:val="30"/>
          <w:shd w:val="clear" w:color="auto" w:fill="FFFFFF"/>
          <w:lang w:bidi="ar"/>
        </w:rPr>
        <w:t>指数包括但不限于</w:t>
      </w:r>
      <w:r>
        <w:rPr>
          <w:rFonts w:ascii="仿宋_GB2312" w:eastAsia="仿宋_GB2312" w:cs="仿宋_GB2312"/>
          <w:color w:val="000000"/>
          <w:kern w:val="0"/>
          <w:sz w:val="30"/>
          <w:szCs w:val="30"/>
          <w:shd w:val="clear" w:color="auto" w:fill="FFFFFF"/>
          <w:lang w:bidi="ar"/>
        </w:rPr>
        <w:t xml:space="preserve">CDX </w:t>
      </w:r>
      <w:r>
        <w:rPr>
          <w:rFonts w:ascii="仿宋_GB2312" w:eastAsia="仿宋_GB2312" w:cs="仿宋_GB2312" w:hint="eastAsia"/>
          <w:color w:val="000000"/>
          <w:kern w:val="0"/>
          <w:sz w:val="30"/>
          <w:szCs w:val="30"/>
          <w:shd w:val="clear" w:color="auto" w:fill="FFFFFF"/>
          <w:lang w:bidi="ar"/>
        </w:rPr>
        <w:t>北美洲</w:t>
      </w:r>
      <w:r>
        <w:rPr>
          <w:rFonts w:ascii="仿宋_GB2312" w:eastAsia="仿宋_GB2312" w:cs="仿宋_GB2312"/>
          <w:color w:val="000000"/>
          <w:kern w:val="0"/>
          <w:sz w:val="30"/>
          <w:szCs w:val="30"/>
          <w:shd w:val="clear" w:color="auto" w:fill="FFFFFF"/>
          <w:lang w:bidi="ar"/>
        </w:rPr>
        <w:t>IG</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iTraxx</w:t>
      </w:r>
      <w:r>
        <w:rPr>
          <w:rFonts w:ascii="仿宋_GB2312" w:eastAsia="仿宋_GB2312" w:cs="仿宋_GB2312" w:hint="eastAsia"/>
          <w:color w:val="000000"/>
          <w:kern w:val="0"/>
          <w:sz w:val="30"/>
          <w:szCs w:val="30"/>
          <w:shd w:val="clear" w:color="auto" w:fill="FFFFFF"/>
          <w:lang w:bidi="ar"/>
        </w:rPr>
        <w:t>欧洲</w:t>
      </w:r>
      <w:r>
        <w:rPr>
          <w:rFonts w:ascii="仿宋_GB2312" w:eastAsia="仿宋_GB2312" w:cs="仿宋_GB2312"/>
          <w:color w:val="000000"/>
          <w:kern w:val="0"/>
          <w:sz w:val="30"/>
          <w:szCs w:val="30"/>
          <w:shd w:val="clear" w:color="auto" w:fill="FFFFFF"/>
          <w:lang w:bidi="ar"/>
        </w:rPr>
        <w:t>IG</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CDX HY</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iTraxx XO</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LCDX</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iTraxx LevX</w:t>
      </w:r>
      <w:r>
        <w:rPr>
          <w:rFonts w:ascii="仿宋_GB2312" w:eastAsia="仿宋_GB2312" w:cs="仿宋_GB2312" w:hint="eastAsia"/>
          <w:color w:val="000000"/>
          <w:kern w:val="0"/>
          <w:sz w:val="30"/>
          <w:szCs w:val="30"/>
          <w:shd w:val="clear" w:color="auto" w:fill="FFFFFF"/>
          <w:lang w:bidi="ar"/>
        </w:rPr>
        <w:t>、亚洲指数、拉美指数、其他地区指数、主要主权实体指数（</w:t>
      </w:r>
      <w:r>
        <w:rPr>
          <w:rFonts w:ascii="仿宋_GB2312" w:eastAsia="仿宋_GB2312" w:cs="仿宋_GB2312"/>
          <w:color w:val="000000"/>
          <w:kern w:val="0"/>
          <w:sz w:val="30"/>
          <w:szCs w:val="30"/>
          <w:shd w:val="clear" w:color="auto" w:fill="FFFFFF"/>
          <w:lang w:bidi="ar"/>
        </w:rPr>
        <w:t>G7</w:t>
      </w:r>
      <w:r>
        <w:rPr>
          <w:rFonts w:ascii="仿宋_GB2312" w:eastAsia="仿宋_GB2312" w:cs="仿宋_GB2312" w:hint="eastAsia"/>
          <w:color w:val="000000"/>
          <w:kern w:val="0"/>
          <w:sz w:val="30"/>
          <w:szCs w:val="30"/>
          <w:shd w:val="clear" w:color="auto" w:fill="FFFFFF"/>
          <w:lang w:bidi="ar"/>
        </w:rPr>
        <w:t>和西欧）、其他主权实体指数等。</w:t>
      </w:r>
      <w:bookmarkEnd w:id="26"/>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商业银行应将相关性交易组合证券化风险暴露划分到对应的风险组。定制化的证券化风险暴露划入定制层级所在的指数风险组。</w:t>
      </w:r>
    </w:p>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）分层级的证券化违约风险权重根据本办法附件</w:t>
      </w:r>
      <w:r>
        <w:rPr>
          <w:rFonts w:ascii="仿宋_GB2312" w:eastAsia="仿宋_GB2312" w:cs="仿宋_GB2312"/>
          <w:color w:val="000000"/>
          <w:kern w:val="0"/>
          <w:sz w:val="30"/>
          <w:szCs w:val="30"/>
          <w:shd w:val="clear" w:color="auto" w:fill="FFFFFF"/>
          <w:lang w:bidi="ar"/>
        </w:rPr>
        <w:t>11</w:t>
      </w:r>
      <w:r>
        <w:rPr>
          <w:rFonts w:ascii="仿宋_GB2312" w:eastAsia="仿宋_GB2312" w:cs="仿宋_GB2312" w:hint="eastAsia"/>
          <w:color w:val="000000"/>
          <w:kern w:val="0"/>
          <w:sz w:val="30"/>
          <w:szCs w:val="30"/>
          <w:shd w:val="clear" w:color="auto" w:fill="FFFFFF"/>
          <w:lang w:bidi="ar"/>
        </w:rPr>
        <w:t>中对应的风险加权资产权重除以</w:t>
      </w:r>
      <w:r>
        <w:rPr>
          <w:rFonts w:ascii="仿宋_GB2312" w:eastAsia="仿宋_GB2312" w:cs="仿宋_GB2312"/>
          <w:color w:val="000000"/>
          <w:kern w:val="0"/>
          <w:sz w:val="30"/>
          <w:szCs w:val="30"/>
          <w:shd w:val="clear" w:color="auto" w:fill="FFFFFF"/>
          <w:lang w:bidi="ar"/>
        </w:rPr>
        <w:t>12.5</w:t>
      </w:r>
      <w:r>
        <w:rPr>
          <w:rFonts w:ascii="仿宋_GB2312" w:eastAsia="仿宋_GB2312" w:cs="仿宋_GB2312" w:hint="eastAsia"/>
          <w:color w:val="000000"/>
          <w:kern w:val="0"/>
          <w:sz w:val="30"/>
          <w:szCs w:val="30"/>
          <w:shd w:val="clear" w:color="auto" w:fill="FFFFFF"/>
          <w:lang w:bidi="ar"/>
        </w:rPr>
        <w:t>确定，</w:t>
      </w:r>
      <w:r>
        <w:rPr>
          <w:rFonts w:ascii="仿宋_GB2312" w:eastAsia="仿宋_GB2312" w:cs="仿宋_GB2312" w:hint="eastAsia"/>
          <w:kern w:val="0"/>
          <w:sz w:val="30"/>
          <w:szCs w:val="30"/>
          <w:shd w:val="clear" w:color="auto" w:fill="FFFFFF"/>
          <w:lang w:bidi="ar"/>
        </w:rPr>
        <w:t>剩余期限设为</w:t>
      </w:r>
      <w:r>
        <w:rPr>
          <w:rFonts w:ascii="仿宋_GB2312" w:eastAsia="仿宋_GB2312" w:cs="仿宋_GB2312" w:hint="eastAsia"/>
          <w:kern w:val="0"/>
          <w:sz w:val="30"/>
          <w:szCs w:val="30"/>
          <w:shd w:val="clear" w:color="auto" w:fill="FFFFFF"/>
          <w:lang w:bidi="ar"/>
        </w:rPr>
        <w:t>1</w:t>
      </w:r>
      <w:r>
        <w:rPr>
          <w:rFonts w:ascii="仿宋_GB2312" w:eastAsia="仿宋_GB2312" w:cs="仿宋_GB2312" w:hint="eastAsia"/>
          <w:kern w:val="0"/>
          <w:sz w:val="30"/>
          <w:szCs w:val="30"/>
          <w:shd w:val="clear" w:color="auto" w:fill="FFFFFF"/>
          <w:lang w:bidi="ar"/>
        </w:rPr>
        <w:t>年。</w:t>
      </w:r>
      <w:r>
        <w:rPr>
          <w:rFonts w:ascii="仿宋_GB2312" w:eastAsia="仿宋_GB2312" w:cs="仿宋_GB2312" w:hint="eastAsia"/>
          <w:color w:val="000000"/>
          <w:kern w:val="0"/>
          <w:sz w:val="30"/>
          <w:szCs w:val="30"/>
          <w:shd w:val="clear" w:color="auto" w:fill="FFFFFF"/>
          <w:lang w:bidi="ar"/>
        </w:rPr>
        <w:t>无层级的证券化违约风险权重与非证券化的计算方法一致，详见本部</w:t>
      </w:r>
      <w:r>
        <w:rPr>
          <w:rFonts w:ascii="仿宋_GB2312" w:eastAsia="仿宋_GB2312" w:cs="仿宋_GB2312" w:hint="eastAsia"/>
          <w:color w:val="000000"/>
          <w:kern w:val="0"/>
          <w:sz w:val="30"/>
          <w:szCs w:val="30"/>
          <w:shd w:val="clear" w:color="auto" w:fill="FFFFFF"/>
          <w:lang w:bidi="ar"/>
        </w:rPr>
        <w:lastRenderedPageBreak/>
        <w:t>分（二）</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）对</w:t>
      </w:r>
      <w:proofErr w:type="gramStart"/>
      <w:r>
        <w:rPr>
          <w:rFonts w:ascii="仿宋_GB2312" w:eastAsia="仿宋_GB2312" w:cs="仿宋_GB2312" w:hint="eastAsia"/>
          <w:color w:val="000000"/>
          <w:kern w:val="0"/>
          <w:sz w:val="30"/>
          <w:szCs w:val="30"/>
          <w:shd w:val="clear" w:color="auto" w:fill="FFFFFF"/>
          <w:lang w:bidi="ar"/>
        </w:rPr>
        <w:t>冲效益</w:t>
      </w:r>
      <w:proofErr w:type="gramEnd"/>
      <w:r>
        <w:rPr>
          <w:rFonts w:ascii="仿宋_GB2312" w:eastAsia="仿宋_GB2312" w:cs="仿宋_GB2312" w:hint="eastAsia"/>
          <w:color w:val="000000"/>
          <w:kern w:val="0"/>
          <w:sz w:val="30"/>
          <w:szCs w:val="30"/>
          <w:shd w:val="clear" w:color="auto" w:fill="FFFFFF"/>
          <w:lang w:bidi="ar"/>
        </w:rPr>
        <w:t>比例</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HBRctp</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计算公式如下：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32"/>
          <w:sz w:val="30"/>
          <w:szCs w:val="30"/>
        </w:rPr>
        <w:object w:dxaOrig="4013" w:dyaOrig="760">
          <v:shape id="_x0000_i1208" type="#_x0000_t75" style="width:200.65pt;height:38.15pt" o:ole="">
            <v:imagedata r:id="rId288" o:title=""/>
          </v:shape>
          <o:OLEObject Type="Embed" ProgID="Equation.DSMT4" ShapeID="_x0000_i1208" DrawAspect="Content" ObjectID="_1765373775" r:id="rId289"/>
        </w:object>
      </w:r>
      <w:r>
        <w:rPr>
          <w:sz w:val="30"/>
          <w:szCs w:val="30"/>
        </w:rPr>
        <w:t xml:space="preserve"> </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其中：</w:t>
      </w:r>
    </w:p>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t>a.</w:t>
      </w:r>
      <w:proofErr w:type="gramEnd"/>
      <w:r>
        <w:rPr>
          <w:position w:val="-14"/>
          <w:sz w:val="30"/>
          <w:szCs w:val="30"/>
        </w:rPr>
        <w:object w:dxaOrig="1467" w:dyaOrig="440">
          <v:shape id="_x0000_i1209" type="#_x0000_t75" style="width:73.45pt;height:22.1pt" o:ole="">
            <v:imagedata r:id="rId290" o:title=""/>
          </v:shape>
          <o:OLEObject Type="Embed" ProgID="Equation.DSMT4" ShapeID="_x0000_i1209" DrawAspect="Content" ObjectID="_1765373776" r:id="rId291"/>
        </w:object>
      </w:r>
      <w:r>
        <w:rPr>
          <w:rFonts w:ascii="仿宋_GB2312" w:eastAsia="仿宋_GB2312" w:hint="eastAsia"/>
          <w:sz w:val="30"/>
          <w:szCs w:val="30"/>
        </w:rPr>
        <w:t>为所有风险组下不同信用等级的所有违约风险净多头风险头寸简单加总。</w:t>
      </w:r>
    </w:p>
    <w:p w:rsidR="004165E8" w:rsidRDefault="00A108D9">
      <w:pPr>
        <w:widowControl/>
        <w:spacing w:line="480" w:lineRule="exact"/>
        <w:ind w:firstLineChars="200" w:firstLine="600"/>
        <w:rPr>
          <w:rFonts w:ascii="仿宋_GB2312" w:eastAsia="仿宋_GB2312"/>
          <w:sz w:val="30"/>
          <w:szCs w:val="30"/>
        </w:rPr>
      </w:pPr>
      <w:proofErr w:type="gramStart"/>
      <w:r>
        <w:rPr>
          <w:rFonts w:ascii="仿宋_GB2312" w:eastAsia="仿宋_GB2312"/>
          <w:sz w:val="30"/>
          <w:szCs w:val="30"/>
        </w:rPr>
        <w:t>b.</w:t>
      </w:r>
      <w:proofErr w:type="gramEnd"/>
      <w:r>
        <w:rPr>
          <w:position w:val="-12"/>
          <w:sz w:val="30"/>
          <w:szCs w:val="30"/>
        </w:rPr>
        <w:object w:dxaOrig="1680" w:dyaOrig="400">
          <v:shape id="_x0000_i1210" type="#_x0000_t75" style="width:84.1pt;height:19.95pt" o:ole="">
            <v:imagedata r:id="rId292" o:title=""/>
          </v:shape>
          <o:OLEObject Type="Embed" ProgID="Equation.DSMT4" ShapeID="_x0000_i1210" DrawAspect="Content" ObjectID="_1765373777" r:id="rId293"/>
        </w:object>
      </w:r>
      <w:r>
        <w:rPr>
          <w:rFonts w:ascii="仿宋_GB2312" w:eastAsia="仿宋_GB2312" w:hint="eastAsia"/>
          <w:sz w:val="30"/>
          <w:szCs w:val="30"/>
        </w:rPr>
        <w:t>为所有风险组下不同信用等级的所有违约风险净空头风险头寸绝对值的简单加总。</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）每个风险组的违约风险资本要求计算公式如下：</w:t>
      </w:r>
    </w:p>
    <w:p w:rsidR="004165E8" w:rsidRDefault="00A108D9">
      <w:pPr>
        <w:widowControl/>
        <w:jc w:val="center"/>
        <w:rPr>
          <w:rFonts w:ascii="仿宋_GB2312" w:eastAsia="仿宋_GB2312" w:cs="仿宋_GB2312"/>
          <w:color w:val="000000"/>
          <w:kern w:val="0"/>
          <w:sz w:val="28"/>
          <w:szCs w:val="28"/>
          <w:shd w:val="clear" w:color="auto" w:fill="FFFFFF"/>
          <w:lang w:bidi="ar"/>
        </w:rPr>
      </w:pPr>
      <m:oMathPara>
        <m:oMath>
          <m:r>
            <w:rPr>
              <w:rFonts w:ascii="Cambria Math" w:eastAsia="仿宋_GB2312" w:hAnsi="Cambria Math" w:hint="eastAsia"/>
              <w:sz w:val="28"/>
              <w:szCs w:val="28"/>
            </w:rPr>
            <m:t>DR</m:t>
          </m:r>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C</m:t>
              </m:r>
            </m:e>
            <m:sub>
              <m:r>
                <w:rPr>
                  <w:rFonts w:ascii="Cambria Math" w:eastAsia="仿宋_GB2312" w:hAnsi="Cambria Math" w:hint="eastAsia"/>
                  <w:sz w:val="28"/>
                  <w:szCs w:val="28"/>
                </w:rPr>
                <m:t>b</m:t>
              </m:r>
            </m:sub>
          </m:sSub>
          <m:r>
            <w:rPr>
              <w:rFonts w:ascii="Cambria Math" w:eastAsia="仿宋_GB2312" w:hAnsi="Cambria Math" w:hint="eastAsia"/>
              <w:sz w:val="28"/>
              <w:szCs w:val="28"/>
            </w:rPr>
            <m:t>=(</m:t>
          </m:r>
          <m:nary>
            <m:naryPr>
              <m:chr m:val="∑"/>
              <m:supHide m:val="1"/>
              <m:ctrlPr>
                <w:rPr>
                  <w:rFonts w:ascii="Cambria Math" w:eastAsia="仿宋_GB2312" w:hAnsi="Cambria Math" w:hint="eastAsia"/>
                  <w:i/>
                  <w:sz w:val="28"/>
                  <w:szCs w:val="28"/>
                </w:rPr>
              </m:ctrlPr>
            </m:naryPr>
            <m:sub>
              <m:r>
                <w:rPr>
                  <w:rFonts w:ascii="Cambria Math" w:eastAsia="仿宋_GB2312" w:hAnsi="Cambria Math" w:hint="eastAsia"/>
                  <w:sz w:val="28"/>
                  <w:szCs w:val="28"/>
                </w:rPr>
                <m:t>i</m:t>
              </m:r>
              <m:r>
                <w:rPr>
                  <w:rFonts w:ascii="Cambria Math" w:eastAsia="仿宋_GB2312" w:hAnsi="Cambria Math" w:cs="宋体" w:hint="eastAsia"/>
                  <w:sz w:val="28"/>
                  <w:szCs w:val="28"/>
                </w:rPr>
                <m:t>∈</m:t>
              </m:r>
              <m:r>
                <m:rPr>
                  <m:nor/>
                </m:rPr>
                <w:rPr>
                  <w:rFonts w:ascii="仿宋_GB2312" w:eastAsia="仿宋_GB2312" w:hint="eastAsia"/>
                  <w:sz w:val="28"/>
                  <w:szCs w:val="28"/>
                </w:rPr>
                <m:t>long</m:t>
              </m:r>
              <m:ctrlPr>
                <w:rPr>
                  <w:rFonts w:ascii="Cambria Math" w:eastAsia="仿宋_GB2312" w:hAnsi="Cambria Math" w:hint="eastAsia"/>
                  <w:sz w:val="28"/>
                  <w:szCs w:val="28"/>
                </w:rPr>
              </m:ctrlPr>
            </m:sub>
            <m:sup>
              <m:ctrlPr>
                <w:rPr>
                  <w:rFonts w:ascii="Cambria Math" w:eastAsia="仿宋_GB2312" w:hAnsi="Cambria Math" w:hint="eastAsia"/>
                  <w:sz w:val="28"/>
                  <w:szCs w:val="28"/>
                </w:rPr>
              </m:ctrlPr>
            </m:sup>
            <m:e>
              <m:r>
                <w:rPr>
                  <w:rFonts w:ascii="Cambria Math" w:eastAsia="仿宋_GB2312" w:hAnsi="Cambria Math" w:hint="eastAsia"/>
                  <w:sz w:val="28"/>
                  <w:szCs w:val="28"/>
                </w:rPr>
                <m:t>R</m:t>
              </m:r>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W</m:t>
                  </m:r>
                </m:e>
                <m:sub>
                  <m:r>
                    <w:rPr>
                      <w:rFonts w:ascii="Cambria Math" w:eastAsia="仿宋_GB2312" w:hAnsi="Cambria Math" w:hint="eastAsia"/>
                      <w:sz w:val="28"/>
                      <w:szCs w:val="28"/>
                    </w:rPr>
                    <m:t>i</m:t>
                  </m:r>
                </m:sub>
              </m:sSub>
              <m:r>
                <m:rPr>
                  <m:sty m:val="p"/>
                </m:rPr>
                <w:rPr>
                  <w:rFonts w:ascii="Cambria Math" w:eastAsia="仿宋_GB2312" w:hAnsi="Cambria Math" w:cs="仿宋_GB2312" w:hint="eastAsia"/>
                  <w:color w:val="000000"/>
                  <w:kern w:val="0"/>
                  <w:sz w:val="28"/>
                  <w:szCs w:val="28"/>
                  <w:shd w:val="clear" w:color="auto" w:fill="FFFFFF"/>
                  <w:lang w:bidi="ar"/>
                </w:rPr>
                <m:t>×</m:t>
              </m:r>
            </m:e>
          </m:nary>
          <m:r>
            <w:rPr>
              <w:rFonts w:ascii="Cambria Math" w:eastAsia="仿宋_GB2312" w:hAnsi="Cambria Math" w:hint="eastAsia"/>
              <w:sz w:val="28"/>
              <w:szCs w:val="28"/>
            </w:rPr>
            <m:t xml:space="preserve"> </m:t>
          </m:r>
          <m:r>
            <w:rPr>
              <w:rFonts w:ascii="Cambria Math" w:eastAsia="仿宋_GB2312" w:hAnsi="Cambria Math" w:hint="eastAsia"/>
              <w:sz w:val="28"/>
              <w:szCs w:val="28"/>
            </w:rPr>
            <m:t>netJT</m:t>
          </m:r>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D</m:t>
              </m:r>
            </m:e>
            <m:sub>
              <m:r>
                <w:rPr>
                  <w:rFonts w:ascii="Cambria Math" w:eastAsia="仿宋_GB2312" w:hAnsi="Cambria Math" w:hint="eastAsia"/>
                  <w:sz w:val="28"/>
                  <w:szCs w:val="28"/>
                </w:rPr>
                <m:t>i</m:t>
              </m:r>
            </m:sub>
          </m:sSub>
          <m:r>
            <w:rPr>
              <w:rFonts w:ascii="Cambria Math" w:eastAsia="仿宋_GB2312" w:hAnsi="Cambria Math" w:hint="eastAsia"/>
              <w:sz w:val="28"/>
              <w:szCs w:val="28"/>
            </w:rPr>
            <m:t>)</m:t>
          </m:r>
          <m:r>
            <w:rPr>
              <w:rFonts w:ascii="微软雅黑" w:eastAsia="微软雅黑" w:hAnsi="微软雅黑" w:cs="微软雅黑" w:hint="eastAsia"/>
              <w:sz w:val="28"/>
              <w:szCs w:val="28"/>
            </w:rPr>
            <m:t>-</m:t>
          </m:r>
          <m:r>
            <w:rPr>
              <w:rFonts w:ascii="Cambria Math" w:eastAsia="仿宋_GB2312" w:hAnsi="Cambria Math" w:hint="eastAsia"/>
              <w:sz w:val="28"/>
              <w:szCs w:val="28"/>
            </w:rPr>
            <m:t>HB</m:t>
          </m:r>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R</m:t>
              </m:r>
            </m:e>
            <m:sub>
              <m:r>
                <w:rPr>
                  <w:rFonts w:ascii="Cambria Math" w:eastAsia="仿宋_GB2312" w:hAnsi="Cambria Math" w:hint="eastAsia"/>
                  <w:sz w:val="28"/>
                  <w:szCs w:val="28"/>
                </w:rPr>
                <m:t>ctp</m:t>
              </m:r>
            </m:sub>
          </m:sSub>
          <m:r>
            <m:rPr>
              <m:sty m:val="p"/>
            </m:rPr>
            <w:rPr>
              <w:rFonts w:ascii="Cambria Math" w:eastAsia="仿宋_GB2312" w:hAnsi="Cambria Math" w:cs="仿宋_GB2312" w:hint="eastAsia"/>
              <w:color w:val="000000"/>
              <w:kern w:val="0"/>
              <w:sz w:val="28"/>
              <w:szCs w:val="28"/>
              <w:shd w:val="clear" w:color="auto" w:fill="FFFFFF"/>
              <w:lang w:bidi="ar"/>
            </w:rPr>
            <m:t>×</m:t>
          </m:r>
          <m:r>
            <w:rPr>
              <w:rFonts w:ascii="Cambria Math" w:eastAsia="仿宋_GB2312" w:hAnsi="Cambria Math" w:hint="eastAsia"/>
              <w:sz w:val="28"/>
              <w:szCs w:val="28"/>
            </w:rPr>
            <m:t>(</m:t>
          </m:r>
          <m:nary>
            <m:naryPr>
              <m:chr m:val="∑"/>
              <m:supHide m:val="1"/>
              <m:ctrlPr>
                <w:rPr>
                  <w:rFonts w:ascii="Cambria Math" w:eastAsia="仿宋_GB2312" w:hAnsi="Cambria Math" w:hint="eastAsia"/>
                  <w:i/>
                  <w:sz w:val="28"/>
                  <w:szCs w:val="28"/>
                </w:rPr>
              </m:ctrlPr>
            </m:naryPr>
            <m:sub>
              <m:r>
                <w:rPr>
                  <w:rFonts w:ascii="Cambria Math" w:eastAsia="仿宋_GB2312" w:hAnsi="Cambria Math" w:hint="eastAsia"/>
                  <w:sz w:val="28"/>
                  <w:szCs w:val="28"/>
                </w:rPr>
                <m:t>i</m:t>
              </m:r>
              <m:r>
                <w:rPr>
                  <w:rFonts w:ascii="Cambria Math" w:eastAsia="仿宋_GB2312" w:hAnsi="Cambria Math" w:cs="宋体" w:hint="eastAsia"/>
                  <w:sz w:val="28"/>
                  <w:szCs w:val="28"/>
                </w:rPr>
                <m:t>∈</m:t>
              </m:r>
              <m:r>
                <m:rPr>
                  <m:nor/>
                </m:rPr>
                <w:rPr>
                  <w:rFonts w:ascii="仿宋_GB2312" w:eastAsia="仿宋_GB2312" w:hint="eastAsia"/>
                  <w:sz w:val="28"/>
                  <w:szCs w:val="28"/>
                </w:rPr>
                <m:t>short</m:t>
              </m:r>
              <m:ctrlPr>
                <w:rPr>
                  <w:rFonts w:ascii="Cambria Math" w:eastAsia="仿宋_GB2312" w:hAnsi="Cambria Math" w:hint="eastAsia"/>
                  <w:sz w:val="28"/>
                  <w:szCs w:val="28"/>
                </w:rPr>
              </m:ctrlPr>
            </m:sub>
            <m:sup>
              <m:ctrlPr>
                <w:rPr>
                  <w:rFonts w:ascii="Cambria Math" w:eastAsia="仿宋_GB2312" w:hAnsi="Cambria Math" w:hint="eastAsia"/>
                  <w:sz w:val="28"/>
                  <w:szCs w:val="28"/>
                </w:rPr>
              </m:ctrlPr>
            </m:sup>
            <m:e>
              <m:r>
                <w:rPr>
                  <w:rFonts w:ascii="Cambria Math" w:eastAsia="仿宋_GB2312" w:hAnsi="Cambria Math" w:hint="eastAsia"/>
                  <w:sz w:val="28"/>
                  <w:szCs w:val="28"/>
                </w:rPr>
                <m:t>R</m:t>
              </m:r>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W</m:t>
                  </m:r>
                </m:e>
                <m:sub>
                  <m:r>
                    <w:rPr>
                      <w:rFonts w:ascii="Cambria Math" w:eastAsia="仿宋_GB2312" w:hAnsi="Cambria Math" w:hint="eastAsia"/>
                      <w:sz w:val="28"/>
                      <w:szCs w:val="28"/>
                    </w:rPr>
                    <m:t>i</m:t>
                  </m:r>
                </m:sub>
              </m:sSub>
              <m:r>
                <m:rPr>
                  <m:sty m:val="p"/>
                </m:rPr>
                <w:rPr>
                  <w:rFonts w:ascii="Cambria Math" w:eastAsia="仿宋_GB2312" w:hAnsi="Cambria Math" w:cs="仿宋_GB2312" w:hint="eastAsia"/>
                  <w:color w:val="000000"/>
                  <w:kern w:val="0"/>
                  <w:sz w:val="28"/>
                  <w:szCs w:val="28"/>
                  <w:shd w:val="clear" w:color="auto" w:fill="FFFFFF"/>
                  <w:lang w:bidi="ar"/>
                </w:rPr>
                <m:t>×</m:t>
              </m:r>
            </m:e>
          </m:nary>
          <m:d>
            <m:dPr>
              <m:begChr m:val="|"/>
              <m:endChr m:val="|"/>
              <m:ctrlPr>
                <w:rPr>
                  <w:rFonts w:ascii="Cambria Math" w:eastAsia="仿宋_GB2312" w:hAnsi="Cambria Math" w:hint="eastAsia"/>
                  <w:i/>
                  <w:sz w:val="28"/>
                  <w:szCs w:val="28"/>
                </w:rPr>
              </m:ctrlPr>
            </m:dPr>
            <m:e>
              <m:r>
                <w:rPr>
                  <w:rFonts w:ascii="Cambria Math" w:eastAsia="仿宋_GB2312" w:hAnsi="Cambria Math" w:hint="eastAsia"/>
                  <w:sz w:val="28"/>
                  <w:szCs w:val="28"/>
                </w:rPr>
                <m:t>netJT</m:t>
              </m:r>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D</m:t>
                  </m:r>
                </m:e>
                <m:sub>
                  <m:r>
                    <w:rPr>
                      <w:rFonts w:ascii="Cambria Math" w:eastAsia="仿宋_GB2312" w:hAnsi="Cambria Math" w:hint="eastAsia"/>
                      <w:sz w:val="28"/>
                      <w:szCs w:val="28"/>
                    </w:rPr>
                    <m:t>i</m:t>
                  </m:r>
                </m:sub>
              </m:sSub>
            </m:e>
          </m:d>
          <m:r>
            <w:rPr>
              <w:rFonts w:ascii="Cambria Math" w:eastAsia="仿宋_GB2312" w:hAnsi="Cambria Math" w:hint="eastAsia"/>
              <w:sz w:val="28"/>
              <w:szCs w:val="28"/>
            </w:rPr>
            <m:t>)</m:t>
          </m:r>
        </m:oMath>
      </m:oMathPara>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其中：</w:t>
      </w:r>
      <w:r>
        <w:rPr>
          <w:rFonts w:ascii="仿宋_GB2312" w:eastAsia="仿宋_GB2312" w:cs="仿宋_GB2312"/>
          <w:color w:val="000000"/>
          <w:kern w:val="0"/>
          <w:sz w:val="30"/>
          <w:szCs w:val="30"/>
          <w:shd w:val="clear" w:color="auto" w:fill="FFFFFF"/>
          <w:lang w:bidi="ar"/>
        </w:rPr>
        <w:t>i</w:t>
      </w:r>
      <w:r>
        <w:rPr>
          <w:rFonts w:ascii="仿宋_GB2312" w:eastAsia="仿宋_GB2312" w:cs="仿宋_GB2312" w:hint="eastAsia"/>
          <w:color w:val="000000"/>
          <w:kern w:val="0"/>
          <w:sz w:val="30"/>
          <w:szCs w:val="30"/>
          <w:shd w:val="clear" w:color="auto" w:fill="FFFFFF"/>
          <w:lang w:bidi="ar"/>
        </w:rPr>
        <w:t>为风险组</w:t>
      </w:r>
      <w:r>
        <w:rPr>
          <w:rFonts w:ascii="仿宋_GB2312" w:eastAsia="仿宋_GB2312" w:cs="仿宋_GB2312" w:hint="eastAsia"/>
          <w:color w:val="000000"/>
          <w:kern w:val="0"/>
          <w:sz w:val="30"/>
          <w:szCs w:val="30"/>
          <w:shd w:val="clear" w:color="auto" w:fill="FFFFFF"/>
          <w:lang w:bidi="ar"/>
        </w:rPr>
        <w:t>b</w:t>
      </w:r>
      <w:r>
        <w:rPr>
          <w:rFonts w:ascii="仿宋_GB2312" w:eastAsia="仿宋_GB2312" w:cs="仿宋_GB2312" w:hint="eastAsia"/>
          <w:color w:val="000000"/>
          <w:kern w:val="0"/>
          <w:sz w:val="30"/>
          <w:szCs w:val="30"/>
          <w:shd w:val="clear" w:color="auto" w:fill="FFFFFF"/>
          <w:lang w:bidi="ar"/>
        </w:rPr>
        <w:t>的金融工具。</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5</w:t>
      </w:r>
      <w:r>
        <w:rPr>
          <w:rFonts w:ascii="仿宋_GB2312" w:eastAsia="仿宋_GB2312" w:cs="仿宋_GB2312" w:hint="eastAsia"/>
          <w:color w:val="000000"/>
          <w:kern w:val="0"/>
          <w:sz w:val="30"/>
          <w:szCs w:val="30"/>
          <w:shd w:val="clear" w:color="auto" w:fill="FFFFFF"/>
          <w:lang w:bidi="ar"/>
        </w:rPr>
        <w:t>）相关性交易组合证券化违约风险资本要求等于各个风险组的资本要求的汇总，公式如下：</w:t>
      </w:r>
    </w:p>
    <w:p w:rsidR="004165E8" w:rsidRDefault="00A108D9">
      <w:pPr>
        <w:widowControl/>
        <w:jc w:val="center"/>
        <w:rPr>
          <w:rFonts w:ascii="仿宋_GB2312" w:eastAsia="仿宋_GB2312" w:cs="仿宋_GB2312"/>
          <w:color w:val="000000"/>
          <w:kern w:val="0"/>
          <w:sz w:val="30"/>
          <w:szCs w:val="30"/>
          <w:shd w:val="clear" w:color="auto" w:fill="FFFFFF"/>
          <w:lang w:bidi="ar"/>
        </w:rPr>
      </w:pPr>
      <w:r>
        <w:rPr>
          <w:position w:val="-26"/>
          <w:sz w:val="30"/>
          <w:szCs w:val="30"/>
        </w:rPr>
        <w:object w:dxaOrig="6680" w:dyaOrig="680">
          <v:shape id="_x0000_i1211" type="#_x0000_t75" style="width:334pt;height:33.85pt" o:ole="">
            <v:imagedata r:id="rId294" o:title=""/>
          </v:shape>
          <o:OLEObject Type="Embed" ProgID="Equation.DSMT4" ShapeID="_x0000_i1211" DrawAspect="Content" ObjectID="_1765373778" r:id="rId295"/>
        </w:object>
      </w:r>
    </w:p>
    <w:p w:rsidR="004165E8" w:rsidRDefault="00A108D9">
      <w:pPr>
        <w:pStyle w:val="20"/>
      </w:pPr>
      <w:r>
        <w:rPr>
          <w:rFonts w:hint="eastAsia"/>
        </w:rPr>
        <w:t>四、</w:t>
      </w:r>
      <w:bookmarkStart w:id="27" w:name="_Hlk48835325"/>
      <w:r>
        <w:rPr>
          <w:rFonts w:hint="eastAsia"/>
        </w:rPr>
        <w:t>剩余风险附加资本要求</w:t>
      </w:r>
    </w:p>
    <w:bookmarkEnd w:id="27"/>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（一）</w:t>
      </w:r>
      <w:bookmarkStart w:id="28" w:name="_Hlk48835340"/>
      <w:r>
        <w:rPr>
          <w:rFonts w:ascii="楷体_GB2312" w:eastAsia="楷体_GB2312" w:hAnsi="黑体" w:hint="eastAsia"/>
          <w:bCs/>
          <w:sz w:val="30"/>
          <w:szCs w:val="30"/>
        </w:rPr>
        <w:t>应承担剩余风险附加资本要求的工具</w:t>
      </w:r>
    </w:p>
    <w:bookmarkEnd w:id="28"/>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具有剩余风险的工具包括标的为奇异性资产的工具和承担其他剩余风险的工具，应单独计量剩余风险附加资本要求。</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标的为奇异性资产的工具是指基础资产的风险暴露不在本附件得尔塔、维伽、曲度敏感度资本要求和违约风险资本要求范围内的交易账簿工具，包括但不限于长寿风险、气候风险、自然灾害、未来的实际波动率等。</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承担其他剩余风险的工具至少符合下列要求之一：</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lastRenderedPageBreak/>
        <w:t>（</w:t>
      </w: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）需计提</w:t>
      </w:r>
      <w:proofErr w:type="gramStart"/>
      <w:r>
        <w:rPr>
          <w:rFonts w:ascii="仿宋_GB2312" w:eastAsia="仿宋_GB2312" w:cs="仿宋_GB2312" w:hint="eastAsia"/>
          <w:color w:val="000000"/>
          <w:kern w:val="0"/>
          <w:sz w:val="30"/>
          <w:szCs w:val="30"/>
          <w:shd w:val="clear" w:color="auto" w:fill="FFFFFF"/>
          <w:lang w:bidi="ar"/>
        </w:rPr>
        <w:t>维伽或</w:t>
      </w:r>
      <w:proofErr w:type="gramEnd"/>
      <w:r>
        <w:rPr>
          <w:rFonts w:ascii="仿宋_GB2312" w:eastAsia="仿宋_GB2312" w:cs="仿宋_GB2312" w:hint="eastAsia"/>
          <w:color w:val="000000"/>
          <w:kern w:val="0"/>
          <w:sz w:val="30"/>
          <w:szCs w:val="30"/>
          <w:shd w:val="clear" w:color="auto" w:fill="FFFFFF"/>
          <w:lang w:bidi="ar"/>
        </w:rPr>
        <w:t>曲度敏感度风险资本要求的工具，且其到期日回报无法由基础资产为单一股票价格、商品价格、汇率、债券价格、信用违约互换价格或利率互换的普通</w:t>
      </w:r>
      <w:r>
        <w:rPr>
          <w:rFonts w:ascii="仿宋_GB2312" w:eastAsia="仿宋_GB2312" w:cs="仿宋_GB2312" w:hint="eastAsia"/>
          <w:kern w:val="0"/>
          <w:sz w:val="30"/>
          <w:szCs w:val="30"/>
          <w:shd w:val="clear" w:color="auto" w:fill="FFFFFF"/>
          <w:lang w:bidi="ar"/>
        </w:rPr>
        <w:t>欧式或美式</w:t>
      </w:r>
      <w:r>
        <w:rPr>
          <w:rFonts w:ascii="仿宋_GB2312" w:eastAsia="仿宋_GB2312" w:cs="仿宋_GB2312" w:hint="eastAsia"/>
          <w:color w:val="000000"/>
          <w:kern w:val="0"/>
          <w:sz w:val="30"/>
          <w:szCs w:val="30"/>
          <w:shd w:val="clear" w:color="auto" w:fill="FFFFFF"/>
          <w:lang w:bidi="ar"/>
        </w:rPr>
        <w:t>期权通过有限线性组合复制。</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）相关性交易组合，但市场风险框架中认定为相关性交易组合合格风险对冲的金融工具</w:t>
      </w:r>
      <w:r>
        <w:rPr>
          <w:rFonts w:ascii="仿宋_GB2312" w:eastAsia="仿宋_GB2312" w:cs="仿宋_GB2312" w:hint="eastAsia"/>
          <w:color w:val="000000"/>
          <w:kern w:val="0"/>
          <w:sz w:val="30"/>
          <w:szCs w:val="30"/>
          <w:shd w:val="clear" w:color="auto" w:fill="FFFFFF"/>
          <w:lang w:bidi="ar"/>
        </w:rPr>
        <w:t>除外。</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4.</w:t>
      </w:r>
      <w:r>
        <w:rPr>
          <w:rFonts w:ascii="仿宋_GB2312" w:eastAsia="仿宋_GB2312" w:cs="仿宋_GB2312" w:hint="eastAsia"/>
          <w:color w:val="000000"/>
          <w:kern w:val="0"/>
          <w:sz w:val="30"/>
          <w:szCs w:val="30"/>
          <w:shd w:val="clear" w:color="auto" w:fill="FFFFFF"/>
          <w:lang w:bidi="ar"/>
        </w:rPr>
        <w:t>承担其他剩余风险的工具包括但不限于受缺口风险影响的工具（如障碍期权、亚式期权、数字期权等），受相关性风险影响的工具（如一篮子期权、最优期权、利差期权、</w:t>
      </w:r>
      <w:proofErr w:type="gramStart"/>
      <w:r>
        <w:rPr>
          <w:rFonts w:ascii="仿宋_GB2312" w:eastAsia="仿宋_GB2312" w:cs="仿宋_GB2312" w:hint="eastAsia"/>
          <w:color w:val="000000"/>
          <w:kern w:val="0"/>
          <w:sz w:val="30"/>
          <w:szCs w:val="30"/>
          <w:shd w:val="clear" w:color="auto" w:fill="FFFFFF"/>
          <w:lang w:bidi="ar"/>
        </w:rPr>
        <w:t>基差期权</w:t>
      </w:r>
      <w:proofErr w:type="gramEnd"/>
      <w:r>
        <w:rPr>
          <w:rFonts w:ascii="仿宋_GB2312" w:eastAsia="仿宋_GB2312" w:cs="仿宋_GB2312" w:hint="eastAsia"/>
          <w:color w:val="000000"/>
          <w:kern w:val="0"/>
          <w:sz w:val="30"/>
          <w:szCs w:val="30"/>
          <w:shd w:val="clear" w:color="auto" w:fill="FFFFFF"/>
          <w:lang w:bidi="ar"/>
        </w:rPr>
        <w:t>、百慕大期权和双币种</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color w:val="000000"/>
          <w:kern w:val="0"/>
          <w:sz w:val="30"/>
          <w:szCs w:val="30"/>
          <w:shd w:val="clear" w:color="auto" w:fill="FFFFFF"/>
          <w:lang w:bidi="ar"/>
        </w:rPr>
        <w:t>Quanto)</w:t>
      </w:r>
      <w:r>
        <w:rPr>
          <w:rFonts w:ascii="仿宋_GB2312" w:eastAsia="仿宋_GB2312" w:cs="仿宋_GB2312" w:hint="eastAsia"/>
          <w:color w:val="000000"/>
          <w:kern w:val="0"/>
          <w:sz w:val="30"/>
          <w:szCs w:val="30"/>
          <w:shd w:val="clear" w:color="auto" w:fill="FFFFFF"/>
          <w:lang w:bidi="ar"/>
        </w:rPr>
        <w:t>期权等），受行为风险影响的工具。</w:t>
      </w:r>
    </w:p>
    <w:p w:rsidR="004165E8" w:rsidRDefault="00A108D9">
      <w:pPr>
        <w:widowControl/>
        <w:spacing w:line="480" w:lineRule="exact"/>
        <w:ind w:firstLineChars="200" w:firstLine="600"/>
        <w:rPr>
          <w:rFonts w:ascii="仿宋_GB2312" w:eastAsia="仿宋_GB2312" w:cs="仿宋_GB2312"/>
          <w:kern w:val="0"/>
          <w:sz w:val="30"/>
          <w:szCs w:val="30"/>
          <w:shd w:val="clear" w:color="auto" w:fill="FFFFFF"/>
          <w:lang w:bidi="ar"/>
        </w:rPr>
      </w:pPr>
      <w:r>
        <w:rPr>
          <w:rFonts w:ascii="仿宋_GB2312" w:eastAsia="仿宋_GB2312" w:cs="仿宋_GB2312"/>
          <w:kern w:val="0"/>
          <w:sz w:val="30"/>
          <w:szCs w:val="30"/>
          <w:shd w:val="clear" w:color="auto" w:fill="FFFFFF"/>
          <w:lang w:bidi="ar"/>
        </w:rPr>
        <w:t>5</w:t>
      </w:r>
      <w:r>
        <w:rPr>
          <w:rFonts w:ascii="仿宋_GB2312" w:eastAsia="仿宋_GB2312" w:cs="仿宋_GB2312" w:hint="eastAsia"/>
          <w:kern w:val="0"/>
          <w:sz w:val="30"/>
          <w:szCs w:val="30"/>
          <w:shd w:val="clear" w:color="auto" w:fill="FFFFFF"/>
          <w:lang w:bidi="ar"/>
        </w:rPr>
        <w:t>.</w:t>
      </w:r>
      <w:r>
        <w:rPr>
          <w:rFonts w:ascii="仿宋_GB2312" w:eastAsia="仿宋_GB2312" w:cs="仿宋_GB2312" w:hint="eastAsia"/>
          <w:kern w:val="0"/>
          <w:sz w:val="30"/>
          <w:szCs w:val="30"/>
          <w:shd w:val="clear" w:color="auto" w:fill="FFFFFF"/>
          <w:lang w:bidi="ar"/>
        </w:rPr>
        <w:t>当一个工具受到下一种或多种风险类型的影响时，这种影响本身不会导致该工具具有剩余风险：</w:t>
      </w:r>
    </w:p>
    <w:p w:rsidR="004165E8" w:rsidRDefault="00A108D9">
      <w:pPr>
        <w:widowControl/>
        <w:spacing w:line="480" w:lineRule="exact"/>
        <w:ind w:firstLineChars="200" w:firstLine="600"/>
        <w:rPr>
          <w:rFonts w:ascii="仿宋_GB2312" w:eastAsia="仿宋_GB2312" w:cs="仿宋_GB2312"/>
          <w:kern w:val="0"/>
          <w:sz w:val="30"/>
          <w:szCs w:val="30"/>
          <w:shd w:val="clear" w:color="auto" w:fill="FFFFFF"/>
          <w:lang w:bidi="ar"/>
        </w:rPr>
      </w:pPr>
      <w:r>
        <w:rPr>
          <w:rFonts w:ascii="仿宋_GB2312" w:eastAsia="仿宋_GB2312" w:cs="仿宋_GB2312" w:hint="eastAsia"/>
          <w:kern w:val="0"/>
          <w:sz w:val="30"/>
          <w:szCs w:val="30"/>
          <w:shd w:val="clear" w:color="auto" w:fill="FFFFFF"/>
          <w:lang w:bidi="ar"/>
        </w:rPr>
        <w:t>（</w:t>
      </w:r>
      <w:r>
        <w:rPr>
          <w:rFonts w:ascii="仿宋_GB2312" w:eastAsia="仿宋_GB2312" w:cs="仿宋_GB2312" w:hint="eastAsia"/>
          <w:kern w:val="0"/>
          <w:sz w:val="30"/>
          <w:szCs w:val="30"/>
          <w:shd w:val="clear" w:color="auto" w:fill="FFFFFF"/>
          <w:lang w:bidi="ar"/>
        </w:rPr>
        <w:t>1</w:t>
      </w:r>
      <w:r>
        <w:rPr>
          <w:rFonts w:ascii="仿宋_GB2312" w:eastAsia="仿宋_GB2312" w:cs="仿宋_GB2312" w:hint="eastAsia"/>
          <w:kern w:val="0"/>
          <w:sz w:val="30"/>
          <w:szCs w:val="30"/>
          <w:shd w:val="clear" w:color="auto" w:fill="FFFFFF"/>
          <w:lang w:bidi="ar"/>
        </w:rPr>
        <w:t>）最便宜可交割期权的风险。</w:t>
      </w:r>
    </w:p>
    <w:p w:rsidR="004165E8" w:rsidRDefault="00A108D9">
      <w:pPr>
        <w:widowControl/>
        <w:spacing w:line="480" w:lineRule="exact"/>
        <w:ind w:firstLineChars="200" w:firstLine="600"/>
        <w:rPr>
          <w:rFonts w:ascii="仿宋_GB2312" w:eastAsia="仿宋_GB2312" w:cs="仿宋_GB2312"/>
          <w:kern w:val="0"/>
          <w:sz w:val="30"/>
          <w:szCs w:val="30"/>
          <w:shd w:val="clear" w:color="auto" w:fill="FFFFFF"/>
          <w:lang w:bidi="ar"/>
        </w:rPr>
      </w:pPr>
      <w:r>
        <w:rPr>
          <w:rFonts w:ascii="仿宋_GB2312" w:eastAsia="仿宋_GB2312" w:cs="仿宋_GB2312" w:hint="eastAsia"/>
          <w:kern w:val="0"/>
          <w:sz w:val="30"/>
          <w:szCs w:val="30"/>
          <w:shd w:val="clear" w:color="auto" w:fill="FFFFFF"/>
          <w:lang w:bidi="ar"/>
        </w:rPr>
        <w:t>（</w:t>
      </w:r>
      <w:r>
        <w:rPr>
          <w:rFonts w:ascii="仿宋_GB2312" w:eastAsia="仿宋_GB2312" w:cs="仿宋_GB2312"/>
          <w:kern w:val="0"/>
          <w:sz w:val="30"/>
          <w:szCs w:val="30"/>
          <w:shd w:val="clear" w:color="auto" w:fill="FFFFFF"/>
          <w:lang w:bidi="ar"/>
        </w:rPr>
        <w:t>2</w:t>
      </w:r>
      <w:r>
        <w:rPr>
          <w:rFonts w:ascii="仿宋_GB2312" w:eastAsia="仿宋_GB2312" w:cs="仿宋_GB2312" w:hint="eastAsia"/>
          <w:kern w:val="0"/>
          <w:sz w:val="30"/>
          <w:szCs w:val="30"/>
          <w:shd w:val="clear" w:color="auto" w:fill="FFFFFF"/>
          <w:lang w:bidi="ar"/>
        </w:rPr>
        <w:t>）微笑风险：当通过其他标的和期限相同的含权工具的隐含波动率来推断一项含权工具的隐含波动率时，因期权不同的价值状态而导致的隐含波动率参数变化的风险。</w:t>
      </w:r>
    </w:p>
    <w:p w:rsidR="004165E8" w:rsidRDefault="00A108D9">
      <w:pPr>
        <w:widowControl/>
        <w:spacing w:line="480" w:lineRule="exact"/>
        <w:ind w:firstLineChars="200" w:firstLine="600"/>
        <w:rPr>
          <w:rFonts w:ascii="仿宋_GB2312" w:eastAsia="仿宋_GB2312" w:cs="仿宋_GB2312"/>
          <w:kern w:val="0"/>
          <w:sz w:val="30"/>
          <w:szCs w:val="30"/>
          <w:shd w:val="clear" w:color="auto" w:fill="FFFFFF"/>
          <w:lang w:bidi="ar"/>
        </w:rPr>
      </w:pPr>
      <w:r>
        <w:rPr>
          <w:rFonts w:ascii="仿宋_GB2312" w:eastAsia="仿宋_GB2312" w:cs="仿宋_GB2312" w:hint="eastAsia"/>
          <w:kern w:val="0"/>
          <w:sz w:val="30"/>
          <w:szCs w:val="30"/>
          <w:shd w:val="clear" w:color="auto" w:fill="FFFFFF"/>
          <w:lang w:bidi="ar"/>
        </w:rPr>
        <w:t>（</w:t>
      </w:r>
      <w:r>
        <w:rPr>
          <w:rFonts w:ascii="仿宋_GB2312" w:eastAsia="仿宋_GB2312" w:cs="仿宋_GB2312"/>
          <w:kern w:val="0"/>
          <w:sz w:val="30"/>
          <w:szCs w:val="30"/>
          <w:shd w:val="clear" w:color="auto" w:fill="FFFFFF"/>
          <w:lang w:bidi="ar"/>
        </w:rPr>
        <w:t>3</w:t>
      </w:r>
      <w:r>
        <w:rPr>
          <w:rFonts w:ascii="仿宋_GB2312" w:eastAsia="仿宋_GB2312" w:cs="仿宋_GB2312" w:hint="eastAsia"/>
          <w:kern w:val="0"/>
          <w:sz w:val="30"/>
          <w:szCs w:val="30"/>
          <w:shd w:val="clear" w:color="auto" w:fill="FFFFFF"/>
          <w:lang w:bidi="ar"/>
        </w:rPr>
        <w:t>）多个标的欧式或美式期权产生的相关性风险，以及可作为这类期权线性组合的任何期权产生的相关性风险，该豁免尤其适用于指数期权。</w:t>
      </w:r>
    </w:p>
    <w:p w:rsidR="004165E8" w:rsidRDefault="00A108D9">
      <w:pPr>
        <w:widowControl/>
        <w:spacing w:line="480" w:lineRule="exact"/>
        <w:ind w:firstLineChars="200" w:firstLine="600"/>
        <w:rPr>
          <w:rFonts w:ascii="仿宋_GB2312" w:eastAsia="仿宋_GB2312" w:cs="仿宋_GB2312"/>
          <w:kern w:val="0"/>
          <w:sz w:val="30"/>
          <w:szCs w:val="30"/>
          <w:shd w:val="clear" w:color="auto" w:fill="FFFFFF"/>
          <w:lang w:bidi="ar"/>
        </w:rPr>
      </w:pPr>
      <w:r>
        <w:rPr>
          <w:rFonts w:ascii="仿宋_GB2312" w:eastAsia="仿宋_GB2312" w:cs="仿宋_GB2312" w:hint="eastAsia"/>
          <w:kern w:val="0"/>
          <w:sz w:val="30"/>
          <w:szCs w:val="30"/>
          <w:shd w:val="clear" w:color="auto" w:fill="FFFFFF"/>
          <w:lang w:bidi="ar"/>
        </w:rPr>
        <w:t>（</w:t>
      </w:r>
      <w:r>
        <w:rPr>
          <w:rFonts w:ascii="仿宋_GB2312" w:eastAsia="仿宋_GB2312" w:cs="仿宋_GB2312"/>
          <w:kern w:val="0"/>
          <w:sz w:val="30"/>
          <w:szCs w:val="30"/>
          <w:shd w:val="clear" w:color="auto" w:fill="FFFFFF"/>
          <w:lang w:bidi="ar"/>
        </w:rPr>
        <w:t>4</w:t>
      </w:r>
      <w:r>
        <w:rPr>
          <w:rFonts w:ascii="仿宋_GB2312" w:eastAsia="仿宋_GB2312" w:cs="仿宋_GB2312" w:hint="eastAsia"/>
          <w:kern w:val="0"/>
          <w:sz w:val="30"/>
          <w:szCs w:val="30"/>
          <w:shd w:val="clear" w:color="auto" w:fill="FFFFFF"/>
          <w:lang w:bidi="ar"/>
        </w:rPr>
        <w:t>）衍生工具产生的股息风险，该衍生工具的标的资产不仅仅包括股息支付。</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color w:val="000000" w:themeColor="text1"/>
          <w:kern w:val="0"/>
          <w:sz w:val="30"/>
          <w:szCs w:val="30"/>
          <w:shd w:val="clear" w:color="auto" w:fill="FFFFFF"/>
          <w:lang w:bidi="ar"/>
        </w:rPr>
        <w:t>6</w:t>
      </w:r>
      <w:r>
        <w:rPr>
          <w:rFonts w:ascii="仿宋_GB2312" w:eastAsia="仿宋_GB2312" w:cs="仿宋_GB2312" w:hint="eastAsia"/>
          <w:color w:val="000000"/>
          <w:kern w:val="0"/>
          <w:sz w:val="30"/>
          <w:szCs w:val="30"/>
          <w:shd w:val="clear" w:color="auto" w:fill="FFFFFF"/>
          <w:lang w:bidi="ar"/>
        </w:rPr>
        <w:t>.</w:t>
      </w:r>
      <w:r>
        <w:rPr>
          <w:rFonts w:ascii="仿宋_GB2312" w:eastAsia="仿宋_GB2312" w:cs="仿宋_GB2312" w:hint="eastAsia"/>
          <w:color w:val="000000"/>
          <w:kern w:val="0"/>
          <w:sz w:val="30"/>
          <w:szCs w:val="30"/>
          <w:shd w:val="clear" w:color="auto" w:fill="FFFFFF"/>
          <w:lang w:bidi="ar"/>
        </w:rPr>
        <w:t>如果与第三方交易可完全</w:t>
      </w:r>
      <w:proofErr w:type="gramStart"/>
      <w:r>
        <w:rPr>
          <w:rFonts w:ascii="仿宋_GB2312" w:eastAsia="仿宋_GB2312" w:cs="仿宋_GB2312" w:hint="eastAsia"/>
          <w:color w:val="000000"/>
          <w:kern w:val="0"/>
          <w:sz w:val="30"/>
          <w:szCs w:val="30"/>
          <w:shd w:val="clear" w:color="auto" w:fill="FFFFFF"/>
          <w:lang w:bidi="ar"/>
        </w:rPr>
        <w:t>对冲原交易</w:t>
      </w:r>
      <w:proofErr w:type="gramEnd"/>
      <w:r>
        <w:rPr>
          <w:rFonts w:ascii="仿宋_GB2312" w:eastAsia="仿宋_GB2312" w:cs="仿宋_GB2312" w:hint="eastAsia"/>
          <w:color w:val="000000"/>
          <w:kern w:val="0"/>
          <w:sz w:val="30"/>
          <w:szCs w:val="30"/>
          <w:shd w:val="clear" w:color="auto" w:fill="FFFFFF"/>
          <w:lang w:bidi="ar"/>
        </w:rPr>
        <w:t>的剩余风险，则无需计量此两笔交易的剩余风险附加资本。例如，与原交易方向相反但其他要素相同的完全匹配的背对背平盘交易。</w:t>
      </w:r>
    </w:p>
    <w:p w:rsidR="004165E8" w:rsidRDefault="00A108D9">
      <w:pPr>
        <w:widowControl/>
        <w:spacing w:line="480" w:lineRule="exact"/>
        <w:ind w:firstLineChars="200" w:firstLine="600"/>
        <w:outlineLvl w:val="1"/>
        <w:rPr>
          <w:rFonts w:ascii="楷体_GB2312" w:eastAsia="楷体_GB2312" w:hAnsi="黑体"/>
          <w:bCs/>
          <w:sz w:val="30"/>
          <w:szCs w:val="30"/>
        </w:rPr>
      </w:pPr>
      <w:r>
        <w:rPr>
          <w:rFonts w:ascii="楷体_GB2312" w:eastAsia="楷体_GB2312" w:hAnsi="黑体" w:hint="eastAsia"/>
          <w:bCs/>
          <w:sz w:val="30"/>
          <w:szCs w:val="30"/>
        </w:rPr>
        <w:t>（二）</w:t>
      </w:r>
      <w:bookmarkStart w:id="29" w:name="_Hlk48835352"/>
      <w:r>
        <w:rPr>
          <w:rFonts w:ascii="楷体_GB2312" w:eastAsia="楷体_GB2312" w:hAnsi="黑体" w:hint="eastAsia"/>
          <w:bCs/>
          <w:sz w:val="30"/>
          <w:szCs w:val="30"/>
        </w:rPr>
        <w:t>剩余风险附加资本要求的计算</w:t>
      </w:r>
    </w:p>
    <w:bookmarkEnd w:id="29"/>
    <w:p w:rsidR="004165E8" w:rsidRDefault="00A108D9">
      <w:pPr>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1.</w:t>
      </w:r>
      <w:r>
        <w:rPr>
          <w:rFonts w:ascii="仿宋_GB2312" w:eastAsia="仿宋_GB2312" w:cs="仿宋_GB2312" w:hint="eastAsia"/>
          <w:color w:val="000000"/>
          <w:kern w:val="0"/>
          <w:sz w:val="30"/>
          <w:szCs w:val="30"/>
          <w:shd w:val="clear" w:color="auto" w:fill="FFFFFF"/>
          <w:lang w:bidi="ar"/>
        </w:rPr>
        <w:t>标的为奇异性资产的工具的剩余风险附加资本要求为名义</w:t>
      </w:r>
      <w:r>
        <w:rPr>
          <w:rFonts w:ascii="仿宋_GB2312" w:eastAsia="仿宋_GB2312" w:cs="仿宋_GB2312" w:hint="eastAsia"/>
          <w:color w:val="000000"/>
          <w:kern w:val="0"/>
          <w:sz w:val="30"/>
          <w:szCs w:val="30"/>
          <w:shd w:val="clear" w:color="auto" w:fill="FFFFFF"/>
          <w:lang w:bidi="ar"/>
        </w:rPr>
        <w:lastRenderedPageBreak/>
        <w:t>本金乘以</w:t>
      </w:r>
      <w:r>
        <w:rPr>
          <w:rFonts w:ascii="仿宋_GB2312" w:eastAsia="仿宋_GB2312" w:cs="仿宋_GB2312" w:hint="eastAsia"/>
          <w:color w:val="000000"/>
          <w:kern w:val="0"/>
          <w:sz w:val="30"/>
          <w:szCs w:val="30"/>
          <w:shd w:val="clear" w:color="auto" w:fill="FFFFFF"/>
          <w:lang w:bidi="ar"/>
        </w:rPr>
        <w:t>1.0%</w:t>
      </w:r>
      <w:r>
        <w:rPr>
          <w:rFonts w:ascii="仿宋_GB2312" w:eastAsia="仿宋_GB2312" w:cs="仿宋_GB2312" w:hint="eastAsia"/>
          <w:color w:val="000000"/>
          <w:kern w:val="0"/>
          <w:sz w:val="30"/>
          <w:szCs w:val="30"/>
          <w:shd w:val="clear" w:color="auto" w:fill="FFFFFF"/>
          <w:lang w:bidi="ar"/>
        </w:rPr>
        <w:t>。</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2.</w:t>
      </w:r>
      <w:r>
        <w:rPr>
          <w:rFonts w:ascii="仿宋_GB2312" w:eastAsia="仿宋_GB2312" w:cs="仿宋_GB2312" w:hint="eastAsia"/>
          <w:color w:val="000000"/>
          <w:kern w:val="0"/>
          <w:sz w:val="30"/>
          <w:szCs w:val="30"/>
          <w:shd w:val="clear" w:color="auto" w:fill="FFFFFF"/>
          <w:lang w:bidi="ar"/>
        </w:rPr>
        <w:t>承担其他剩余风险的工具的剩余风险附加资本要求为名义本金乘以</w:t>
      </w:r>
      <w:r>
        <w:rPr>
          <w:rFonts w:ascii="仿宋_GB2312" w:eastAsia="仿宋_GB2312" w:cs="仿宋_GB2312" w:hint="eastAsia"/>
          <w:color w:val="000000"/>
          <w:kern w:val="0"/>
          <w:sz w:val="30"/>
          <w:szCs w:val="30"/>
          <w:shd w:val="clear" w:color="auto" w:fill="FFFFFF"/>
          <w:lang w:bidi="ar"/>
        </w:rPr>
        <w:t>0.1%</w:t>
      </w:r>
      <w:r>
        <w:rPr>
          <w:rFonts w:ascii="仿宋_GB2312" w:eastAsia="仿宋_GB2312" w:cs="仿宋_GB2312" w:hint="eastAsia"/>
          <w:color w:val="000000"/>
          <w:kern w:val="0"/>
          <w:sz w:val="30"/>
          <w:szCs w:val="30"/>
          <w:shd w:val="clear" w:color="auto" w:fill="FFFFFF"/>
          <w:lang w:bidi="ar"/>
        </w:rPr>
        <w:t>。若国家金融监督管理总局或其派出机构认为上述剩余风险附加资本要求仍不够审慎，可要求商业银行在第二支柱下针对潜在资本不足风险计提附加资本。</w:t>
      </w:r>
    </w:p>
    <w:p w:rsidR="004165E8" w:rsidRDefault="00A108D9">
      <w:pPr>
        <w:widowControl/>
        <w:spacing w:line="480" w:lineRule="exact"/>
        <w:ind w:firstLineChars="200" w:firstLine="600"/>
        <w:rPr>
          <w:rFonts w:ascii="仿宋_GB2312" w:eastAsia="仿宋_GB2312" w:cs="仿宋_GB2312"/>
          <w:color w:val="000000"/>
          <w:kern w:val="0"/>
          <w:sz w:val="30"/>
          <w:szCs w:val="30"/>
          <w:shd w:val="clear" w:color="auto" w:fill="FFFFFF"/>
          <w:lang w:bidi="ar"/>
        </w:rPr>
      </w:pPr>
      <w:r>
        <w:rPr>
          <w:rFonts w:ascii="仿宋_GB2312" w:eastAsia="仿宋_GB2312" w:cs="仿宋_GB2312" w:hint="eastAsia"/>
          <w:color w:val="000000"/>
          <w:kern w:val="0"/>
          <w:sz w:val="30"/>
          <w:szCs w:val="30"/>
          <w:shd w:val="clear" w:color="auto" w:fill="FFFFFF"/>
          <w:lang w:bidi="ar"/>
        </w:rPr>
        <w:t>3.</w:t>
      </w:r>
      <w:r>
        <w:rPr>
          <w:rFonts w:ascii="仿宋_GB2312" w:eastAsia="仿宋_GB2312" w:cs="仿宋_GB2312" w:hint="eastAsia"/>
          <w:color w:val="000000"/>
          <w:kern w:val="0"/>
          <w:sz w:val="30"/>
          <w:szCs w:val="30"/>
          <w:shd w:val="clear" w:color="auto" w:fill="FFFFFF"/>
          <w:lang w:bidi="ar"/>
        </w:rPr>
        <w:t>剩余风险附加工具的计量范围，不得影响（增加或减少）应计提得尔塔、</w:t>
      </w:r>
      <w:bookmarkStart w:id="30" w:name="_Hlk135401362"/>
      <w:r>
        <w:rPr>
          <w:rFonts w:ascii="仿宋_GB2312" w:eastAsia="仿宋_GB2312" w:cs="仿宋_GB2312" w:hint="eastAsia"/>
          <w:color w:val="000000"/>
          <w:kern w:val="0"/>
          <w:sz w:val="30"/>
          <w:szCs w:val="30"/>
          <w:shd w:val="clear" w:color="auto" w:fill="FFFFFF"/>
          <w:lang w:bidi="ar"/>
        </w:rPr>
        <w:t>维伽</w:t>
      </w:r>
      <w:bookmarkEnd w:id="30"/>
      <w:r>
        <w:rPr>
          <w:rFonts w:ascii="仿宋_GB2312" w:eastAsia="仿宋_GB2312" w:cs="仿宋_GB2312" w:hint="eastAsia"/>
          <w:color w:val="000000"/>
          <w:kern w:val="0"/>
          <w:sz w:val="30"/>
          <w:szCs w:val="30"/>
          <w:shd w:val="clear" w:color="auto" w:fill="FFFFFF"/>
          <w:lang w:bidi="ar"/>
        </w:rPr>
        <w:t>、曲度敏感度资本要求或违约风险资本要求的风险因子范围。</w:t>
      </w:r>
    </w:p>
    <w:sectPr w:rsidR="004165E8">
      <w:footerReference w:type="even" r:id="rId296"/>
      <w:footerReference w:type="default" r:id="rId297"/>
      <w:pgSz w:w="11906" w:h="16838"/>
      <w:pgMar w:top="2268" w:right="1701" w:bottom="1701" w:left="1701" w:header="851" w:footer="51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8D9" w:rsidRDefault="00A108D9"/>
  </w:endnote>
  <w:endnote w:type="continuationSeparator" w:id="0">
    <w:p w:rsidR="00A108D9" w:rsidRDefault="00A10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variable"/>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Math TeX Gyre">
    <w:altName w:val="Arial Unicode MS"/>
    <w:charset w:val="00"/>
    <w:family w:val="auto"/>
    <w:pitch w:val="default"/>
    <w:sig w:usb0="00000001" w:usb1="4201F9EE" w:usb2="02000000" w:usb3="00000000" w:csb0="60000193" w:csb1="0DD4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E8" w:rsidRDefault="00A108D9">
    <w:pPr>
      <w:pStyle w:val="ac"/>
      <w:framePr w:wrap="around" w:vAnchor="text" w:hAnchor="margin" w:xAlign="right" w:y="1"/>
      <w:rPr>
        <w:rStyle w:val="af5"/>
      </w:rPr>
    </w:pPr>
    <w:r>
      <w:fldChar w:fldCharType="begin"/>
    </w:r>
    <w:r>
      <w:rPr>
        <w:rStyle w:val="af5"/>
      </w:rPr>
      <w:instrText xml:space="preserve">PAGE  </w:instrText>
    </w:r>
    <w:r>
      <w:fldChar w:fldCharType="separate"/>
    </w:r>
    <w:r>
      <w:rPr>
        <w:rStyle w:val="af5"/>
      </w:rPr>
      <w:t>1</w:t>
    </w:r>
    <w:r>
      <w:fldChar w:fldCharType="end"/>
    </w:r>
  </w:p>
  <w:p w:rsidR="004165E8" w:rsidRDefault="004165E8">
    <w:pPr>
      <w:ind w:right="360"/>
    </w:pPr>
  </w:p>
  <w:p w:rsidR="004165E8" w:rsidRDefault="004165E8"/>
  <w:p w:rsidR="004165E8" w:rsidRDefault="00A108D9">
    <w:r>
      <w:fldChar w:fldCharType="begin"/>
    </w:r>
    <w:r>
      <w:fldChar w:fldCharType="end"/>
    </w:r>
    <w:r>
      <w:rPr>
        <w:rStyle w:val="af5"/>
      </w:rPr>
      <w:t xml:space="preserve">PAGE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14965"/>
    </w:sdtPr>
    <w:sdtEndPr>
      <w:rPr>
        <w:rFonts w:ascii="宋体" w:hAnsi="宋体"/>
        <w:sz w:val="21"/>
        <w:szCs w:val="21"/>
      </w:rPr>
    </w:sdtEndPr>
    <w:sdtContent>
      <w:p w:rsidR="004165E8" w:rsidRDefault="00A108D9">
        <w:pPr>
          <w:pStyle w:val="ac"/>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w:instrText>
        </w:r>
        <w:r>
          <w:rPr>
            <w:rFonts w:ascii="宋体" w:hAnsi="宋体"/>
            <w:sz w:val="21"/>
            <w:szCs w:val="21"/>
          </w:rPr>
          <w:instrText>MAT</w:instrText>
        </w:r>
        <w:r>
          <w:rPr>
            <w:rFonts w:ascii="宋体" w:hAnsi="宋体"/>
            <w:sz w:val="21"/>
            <w:szCs w:val="21"/>
          </w:rPr>
          <w:fldChar w:fldCharType="separate"/>
        </w:r>
        <w:r w:rsidR="009C5D53" w:rsidRPr="009C5D53">
          <w:rPr>
            <w:rFonts w:ascii="宋体" w:hAnsi="宋体"/>
            <w:noProof/>
            <w:sz w:val="21"/>
            <w:szCs w:val="21"/>
            <w:lang w:val="zh-CN"/>
          </w:rPr>
          <w:t>24</w:t>
        </w:r>
        <w:r>
          <w:rPr>
            <w:rFonts w:ascii="宋体" w:hAnsi="宋体"/>
            <w:sz w:val="21"/>
            <w:szCs w:val="21"/>
          </w:rPr>
          <w:fldChar w:fldCharType="end"/>
        </w:r>
      </w:p>
    </w:sdtContent>
  </w:sdt>
  <w:p w:rsidR="004165E8" w:rsidRDefault="00416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8D9" w:rsidRDefault="00A108D9"/>
  </w:footnote>
  <w:footnote w:type="continuationSeparator" w:id="0">
    <w:p w:rsidR="00A108D9" w:rsidRDefault="00A108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ZTUwZDg4OGNlMmFiY2NmMGY3MjY4MWFhMmM1YjIifQ=="/>
  </w:docVars>
  <w:rsids>
    <w:rsidRoot w:val="00172A27"/>
    <w:rsid w:val="CE6AB1BE"/>
    <w:rsid w:val="DEF736E9"/>
    <w:rsid w:val="F8EF27D3"/>
    <w:rsid w:val="F9D70E58"/>
    <w:rsid w:val="FAFF6C9E"/>
    <w:rsid w:val="FDF3FFDE"/>
    <w:rsid w:val="FFCBDE21"/>
    <w:rsid w:val="FFDCC76C"/>
    <w:rsid w:val="FFFF3CF1"/>
    <w:rsid w:val="0000188F"/>
    <w:rsid w:val="00001BCD"/>
    <w:rsid w:val="00002ADF"/>
    <w:rsid w:val="000040E4"/>
    <w:rsid w:val="000048EB"/>
    <w:rsid w:val="00004B6F"/>
    <w:rsid w:val="00006AF5"/>
    <w:rsid w:val="000101C5"/>
    <w:rsid w:val="0001040F"/>
    <w:rsid w:val="00010F5A"/>
    <w:rsid w:val="00012101"/>
    <w:rsid w:val="00013846"/>
    <w:rsid w:val="0001559B"/>
    <w:rsid w:val="000163C2"/>
    <w:rsid w:val="000208AB"/>
    <w:rsid w:val="0002097E"/>
    <w:rsid w:val="00020F88"/>
    <w:rsid w:val="0002411C"/>
    <w:rsid w:val="000265F9"/>
    <w:rsid w:val="0002671E"/>
    <w:rsid w:val="00033330"/>
    <w:rsid w:val="00034CD4"/>
    <w:rsid w:val="00035CA5"/>
    <w:rsid w:val="000368B5"/>
    <w:rsid w:val="00036AF1"/>
    <w:rsid w:val="00037676"/>
    <w:rsid w:val="00045C4B"/>
    <w:rsid w:val="000465F3"/>
    <w:rsid w:val="00047D0E"/>
    <w:rsid w:val="00052136"/>
    <w:rsid w:val="00052B07"/>
    <w:rsid w:val="00053F1A"/>
    <w:rsid w:val="00054CD1"/>
    <w:rsid w:val="00054EBD"/>
    <w:rsid w:val="00056029"/>
    <w:rsid w:val="00060154"/>
    <w:rsid w:val="00063822"/>
    <w:rsid w:val="000642EF"/>
    <w:rsid w:val="00064401"/>
    <w:rsid w:val="000661DC"/>
    <w:rsid w:val="00070F41"/>
    <w:rsid w:val="00071227"/>
    <w:rsid w:val="000713B6"/>
    <w:rsid w:val="000713D3"/>
    <w:rsid w:val="0007175D"/>
    <w:rsid w:val="00071807"/>
    <w:rsid w:val="00071E7C"/>
    <w:rsid w:val="00072D1B"/>
    <w:rsid w:val="00073BF3"/>
    <w:rsid w:val="00073E9F"/>
    <w:rsid w:val="00074126"/>
    <w:rsid w:val="00074148"/>
    <w:rsid w:val="00074E55"/>
    <w:rsid w:val="0007751B"/>
    <w:rsid w:val="00083818"/>
    <w:rsid w:val="0008715E"/>
    <w:rsid w:val="00090F74"/>
    <w:rsid w:val="0009121A"/>
    <w:rsid w:val="0009265A"/>
    <w:rsid w:val="000927BE"/>
    <w:rsid w:val="000927D2"/>
    <w:rsid w:val="0009451E"/>
    <w:rsid w:val="00094DF9"/>
    <w:rsid w:val="00095F1B"/>
    <w:rsid w:val="00096D89"/>
    <w:rsid w:val="000A280F"/>
    <w:rsid w:val="000A426A"/>
    <w:rsid w:val="000A4B14"/>
    <w:rsid w:val="000A5EFE"/>
    <w:rsid w:val="000A6041"/>
    <w:rsid w:val="000A7FC1"/>
    <w:rsid w:val="000B09AF"/>
    <w:rsid w:val="000B0D47"/>
    <w:rsid w:val="000B0D4A"/>
    <w:rsid w:val="000B0D63"/>
    <w:rsid w:val="000B4E61"/>
    <w:rsid w:val="000B5F55"/>
    <w:rsid w:val="000C1000"/>
    <w:rsid w:val="000C1C59"/>
    <w:rsid w:val="000C2DB5"/>
    <w:rsid w:val="000C2E77"/>
    <w:rsid w:val="000C34B1"/>
    <w:rsid w:val="000C4261"/>
    <w:rsid w:val="000C4477"/>
    <w:rsid w:val="000C46EF"/>
    <w:rsid w:val="000C5336"/>
    <w:rsid w:val="000C7D7F"/>
    <w:rsid w:val="000D0106"/>
    <w:rsid w:val="000D2E1B"/>
    <w:rsid w:val="000D3CB0"/>
    <w:rsid w:val="000D46FD"/>
    <w:rsid w:val="000D580D"/>
    <w:rsid w:val="000D5B8E"/>
    <w:rsid w:val="000D63D0"/>
    <w:rsid w:val="000D6B3B"/>
    <w:rsid w:val="000D7025"/>
    <w:rsid w:val="000E0C7F"/>
    <w:rsid w:val="000E1D69"/>
    <w:rsid w:val="000E2CC1"/>
    <w:rsid w:val="000E49FC"/>
    <w:rsid w:val="000E5582"/>
    <w:rsid w:val="000E5E4A"/>
    <w:rsid w:val="000E6ABE"/>
    <w:rsid w:val="000F0224"/>
    <w:rsid w:val="000F02F1"/>
    <w:rsid w:val="000F094D"/>
    <w:rsid w:val="000F1F97"/>
    <w:rsid w:val="000F2038"/>
    <w:rsid w:val="000F23E3"/>
    <w:rsid w:val="000F2DF9"/>
    <w:rsid w:val="000F3581"/>
    <w:rsid w:val="000F3810"/>
    <w:rsid w:val="000F4834"/>
    <w:rsid w:val="000F494F"/>
    <w:rsid w:val="000F4958"/>
    <w:rsid w:val="000F5A98"/>
    <w:rsid w:val="000F6D47"/>
    <w:rsid w:val="00101D5A"/>
    <w:rsid w:val="00102A2B"/>
    <w:rsid w:val="00102D29"/>
    <w:rsid w:val="00102F94"/>
    <w:rsid w:val="0010560C"/>
    <w:rsid w:val="00106FD6"/>
    <w:rsid w:val="001071C2"/>
    <w:rsid w:val="00107AC1"/>
    <w:rsid w:val="00107BFF"/>
    <w:rsid w:val="00110539"/>
    <w:rsid w:val="00110A14"/>
    <w:rsid w:val="001110EA"/>
    <w:rsid w:val="0011126F"/>
    <w:rsid w:val="00111F73"/>
    <w:rsid w:val="001132CC"/>
    <w:rsid w:val="00115FD2"/>
    <w:rsid w:val="00116D54"/>
    <w:rsid w:val="00117A5B"/>
    <w:rsid w:val="00124EBA"/>
    <w:rsid w:val="001303FC"/>
    <w:rsid w:val="00133D6A"/>
    <w:rsid w:val="00134A3A"/>
    <w:rsid w:val="00134EF5"/>
    <w:rsid w:val="00140A6B"/>
    <w:rsid w:val="00141EBD"/>
    <w:rsid w:val="00141F92"/>
    <w:rsid w:val="00142121"/>
    <w:rsid w:val="001421B6"/>
    <w:rsid w:val="00142654"/>
    <w:rsid w:val="0014367E"/>
    <w:rsid w:val="001437F3"/>
    <w:rsid w:val="00143E43"/>
    <w:rsid w:val="00144003"/>
    <w:rsid w:val="001446F6"/>
    <w:rsid w:val="00146D18"/>
    <w:rsid w:val="0014733E"/>
    <w:rsid w:val="0014788C"/>
    <w:rsid w:val="00147956"/>
    <w:rsid w:val="00147EA9"/>
    <w:rsid w:val="0015017F"/>
    <w:rsid w:val="00151620"/>
    <w:rsid w:val="00151765"/>
    <w:rsid w:val="00153B23"/>
    <w:rsid w:val="00154C7A"/>
    <w:rsid w:val="00155B2A"/>
    <w:rsid w:val="001571B8"/>
    <w:rsid w:val="00157C05"/>
    <w:rsid w:val="00157E73"/>
    <w:rsid w:val="001629BB"/>
    <w:rsid w:val="00162E42"/>
    <w:rsid w:val="0016563F"/>
    <w:rsid w:val="001704E6"/>
    <w:rsid w:val="0017146B"/>
    <w:rsid w:val="00172A27"/>
    <w:rsid w:val="00172BD8"/>
    <w:rsid w:val="00175438"/>
    <w:rsid w:val="001756DA"/>
    <w:rsid w:val="001768F8"/>
    <w:rsid w:val="0017699A"/>
    <w:rsid w:val="0017757F"/>
    <w:rsid w:val="00177B1A"/>
    <w:rsid w:val="001808FC"/>
    <w:rsid w:val="001813AE"/>
    <w:rsid w:val="00181918"/>
    <w:rsid w:val="00181F08"/>
    <w:rsid w:val="001847F7"/>
    <w:rsid w:val="00185C84"/>
    <w:rsid w:val="00190BAA"/>
    <w:rsid w:val="00190CF8"/>
    <w:rsid w:val="001944E3"/>
    <w:rsid w:val="00195313"/>
    <w:rsid w:val="00195795"/>
    <w:rsid w:val="00195D48"/>
    <w:rsid w:val="001962DE"/>
    <w:rsid w:val="001968FF"/>
    <w:rsid w:val="001A05F4"/>
    <w:rsid w:val="001A09F6"/>
    <w:rsid w:val="001A0D57"/>
    <w:rsid w:val="001A148D"/>
    <w:rsid w:val="001A5C54"/>
    <w:rsid w:val="001A5DC4"/>
    <w:rsid w:val="001A6B81"/>
    <w:rsid w:val="001A7327"/>
    <w:rsid w:val="001B155B"/>
    <w:rsid w:val="001B1FC4"/>
    <w:rsid w:val="001B23D0"/>
    <w:rsid w:val="001B33DC"/>
    <w:rsid w:val="001B3748"/>
    <w:rsid w:val="001B43DF"/>
    <w:rsid w:val="001B528C"/>
    <w:rsid w:val="001C1658"/>
    <w:rsid w:val="001C1CEE"/>
    <w:rsid w:val="001C25B7"/>
    <w:rsid w:val="001C25EE"/>
    <w:rsid w:val="001C4F59"/>
    <w:rsid w:val="001C72A4"/>
    <w:rsid w:val="001D1487"/>
    <w:rsid w:val="001D20FF"/>
    <w:rsid w:val="001D2A44"/>
    <w:rsid w:val="001D30C3"/>
    <w:rsid w:val="001D3AD8"/>
    <w:rsid w:val="001D3CB9"/>
    <w:rsid w:val="001D70DD"/>
    <w:rsid w:val="001D737C"/>
    <w:rsid w:val="001E12F5"/>
    <w:rsid w:val="001E1524"/>
    <w:rsid w:val="001E320F"/>
    <w:rsid w:val="001F1C14"/>
    <w:rsid w:val="001F210C"/>
    <w:rsid w:val="001F3177"/>
    <w:rsid w:val="001F32EB"/>
    <w:rsid w:val="001F3461"/>
    <w:rsid w:val="001F3C35"/>
    <w:rsid w:val="001F4D7E"/>
    <w:rsid w:val="001F60F6"/>
    <w:rsid w:val="001F6172"/>
    <w:rsid w:val="001F6FC6"/>
    <w:rsid w:val="001F714C"/>
    <w:rsid w:val="001F7154"/>
    <w:rsid w:val="001F71E3"/>
    <w:rsid w:val="0020052C"/>
    <w:rsid w:val="00200667"/>
    <w:rsid w:val="00201088"/>
    <w:rsid w:val="00203BB5"/>
    <w:rsid w:val="00204F5B"/>
    <w:rsid w:val="0020509A"/>
    <w:rsid w:val="002054D6"/>
    <w:rsid w:val="00210AFE"/>
    <w:rsid w:val="00210B30"/>
    <w:rsid w:val="00211F50"/>
    <w:rsid w:val="00214F6B"/>
    <w:rsid w:val="00216227"/>
    <w:rsid w:val="00216B2A"/>
    <w:rsid w:val="002200EA"/>
    <w:rsid w:val="002206FC"/>
    <w:rsid w:val="00220BB1"/>
    <w:rsid w:val="00220DF6"/>
    <w:rsid w:val="00221E0D"/>
    <w:rsid w:val="0022242A"/>
    <w:rsid w:val="00224CFE"/>
    <w:rsid w:val="00224F2B"/>
    <w:rsid w:val="002309C7"/>
    <w:rsid w:val="00232F4C"/>
    <w:rsid w:val="00233035"/>
    <w:rsid w:val="002369A8"/>
    <w:rsid w:val="00241E66"/>
    <w:rsid w:val="00241F88"/>
    <w:rsid w:val="00242B03"/>
    <w:rsid w:val="00244371"/>
    <w:rsid w:val="002447E9"/>
    <w:rsid w:val="00244AB3"/>
    <w:rsid w:val="00244B66"/>
    <w:rsid w:val="00247D99"/>
    <w:rsid w:val="00250B9A"/>
    <w:rsid w:val="00251511"/>
    <w:rsid w:val="00253E69"/>
    <w:rsid w:val="00256FA2"/>
    <w:rsid w:val="002603CF"/>
    <w:rsid w:val="00261EC8"/>
    <w:rsid w:val="002632B4"/>
    <w:rsid w:val="0026375A"/>
    <w:rsid w:val="002641ED"/>
    <w:rsid w:val="00264465"/>
    <w:rsid w:val="002645F7"/>
    <w:rsid w:val="00265530"/>
    <w:rsid w:val="00265C1C"/>
    <w:rsid w:val="00266934"/>
    <w:rsid w:val="00266BF5"/>
    <w:rsid w:val="00267F63"/>
    <w:rsid w:val="00272231"/>
    <w:rsid w:val="00273D3E"/>
    <w:rsid w:val="002746FD"/>
    <w:rsid w:val="00274E95"/>
    <w:rsid w:val="002769C2"/>
    <w:rsid w:val="00276C54"/>
    <w:rsid w:val="0028004C"/>
    <w:rsid w:val="0028220A"/>
    <w:rsid w:val="00282AC5"/>
    <w:rsid w:val="00283BDE"/>
    <w:rsid w:val="0028442F"/>
    <w:rsid w:val="00284FCD"/>
    <w:rsid w:val="00285F22"/>
    <w:rsid w:val="00286FBF"/>
    <w:rsid w:val="00287118"/>
    <w:rsid w:val="00287E43"/>
    <w:rsid w:val="00290043"/>
    <w:rsid w:val="0029147B"/>
    <w:rsid w:val="00292699"/>
    <w:rsid w:val="0029281E"/>
    <w:rsid w:val="00292984"/>
    <w:rsid w:val="00293667"/>
    <w:rsid w:val="0029432B"/>
    <w:rsid w:val="00294B52"/>
    <w:rsid w:val="00295C8B"/>
    <w:rsid w:val="002A0A51"/>
    <w:rsid w:val="002A29F0"/>
    <w:rsid w:val="002B1482"/>
    <w:rsid w:val="002B1D21"/>
    <w:rsid w:val="002B2F27"/>
    <w:rsid w:val="002B2FFD"/>
    <w:rsid w:val="002B53F4"/>
    <w:rsid w:val="002B5F4C"/>
    <w:rsid w:val="002B6011"/>
    <w:rsid w:val="002B608F"/>
    <w:rsid w:val="002B6B54"/>
    <w:rsid w:val="002C0151"/>
    <w:rsid w:val="002C3A9D"/>
    <w:rsid w:val="002D027E"/>
    <w:rsid w:val="002D08FD"/>
    <w:rsid w:val="002D1260"/>
    <w:rsid w:val="002D1C56"/>
    <w:rsid w:val="002D20F9"/>
    <w:rsid w:val="002D3A65"/>
    <w:rsid w:val="002D3A9A"/>
    <w:rsid w:val="002D4C5F"/>
    <w:rsid w:val="002D539F"/>
    <w:rsid w:val="002D7E56"/>
    <w:rsid w:val="002D7FDD"/>
    <w:rsid w:val="002E093C"/>
    <w:rsid w:val="002E3BFD"/>
    <w:rsid w:val="002E4BB8"/>
    <w:rsid w:val="002E5DAD"/>
    <w:rsid w:val="002F02E1"/>
    <w:rsid w:val="002F4254"/>
    <w:rsid w:val="002F432C"/>
    <w:rsid w:val="002F50A3"/>
    <w:rsid w:val="002F5E39"/>
    <w:rsid w:val="002F6A24"/>
    <w:rsid w:val="00305F3A"/>
    <w:rsid w:val="0030699D"/>
    <w:rsid w:val="003076BB"/>
    <w:rsid w:val="003079CA"/>
    <w:rsid w:val="00307A78"/>
    <w:rsid w:val="00311061"/>
    <w:rsid w:val="003119C5"/>
    <w:rsid w:val="003127B5"/>
    <w:rsid w:val="00316794"/>
    <w:rsid w:val="00316D00"/>
    <w:rsid w:val="003171EF"/>
    <w:rsid w:val="00320A79"/>
    <w:rsid w:val="00320DC6"/>
    <w:rsid w:val="00323088"/>
    <w:rsid w:val="00323430"/>
    <w:rsid w:val="00323DC5"/>
    <w:rsid w:val="00331038"/>
    <w:rsid w:val="003333C1"/>
    <w:rsid w:val="00333C17"/>
    <w:rsid w:val="00334225"/>
    <w:rsid w:val="00334AC9"/>
    <w:rsid w:val="00335354"/>
    <w:rsid w:val="00344321"/>
    <w:rsid w:val="003458FF"/>
    <w:rsid w:val="00345D37"/>
    <w:rsid w:val="00346A3A"/>
    <w:rsid w:val="00346F0D"/>
    <w:rsid w:val="0035077F"/>
    <w:rsid w:val="00353567"/>
    <w:rsid w:val="0035388C"/>
    <w:rsid w:val="00353ECF"/>
    <w:rsid w:val="003545EF"/>
    <w:rsid w:val="00354F84"/>
    <w:rsid w:val="003554BD"/>
    <w:rsid w:val="00355961"/>
    <w:rsid w:val="0035704E"/>
    <w:rsid w:val="0035724E"/>
    <w:rsid w:val="00357288"/>
    <w:rsid w:val="00360393"/>
    <w:rsid w:val="00360C3F"/>
    <w:rsid w:val="00361A2B"/>
    <w:rsid w:val="003626B4"/>
    <w:rsid w:val="0036312F"/>
    <w:rsid w:val="0036323E"/>
    <w:rsid w:val="00363708"/>
    <w:rsid w:val="0036481D"/>
    <w:rsid w:val="003662B4"/>
    <w:rsid w:val="00366B5F"/>
    <w:rsid w:val="00367D6E"/>
    <w:rsid w:val="003700CF"/>
    <w:rsid w:val="0037243E"/>
    <w:rsid w:val="003726CB"/>
    <w:rsid w:val="0037302B"/>
    <w:rsid w:val="00374209"/>
    <w:rsid w:val="00375418"/>
    <w:rsid w:val="00376D04"/>
    <w:rsid w:val="003776DA"/>
    <w:rsid w:val="003778E2"/>
    <w:rsid w:val="00381D0F"/>
    <w:rsid w:val="00382D4C"/>
    <w:rsid w:val="00383CC1"/>
    <w:rsid w:val="00384355"/>
    <w:rsid w:val="0038460E"/>
    <w:rsid w:val="00386A99"/>
    <w:rsid w:val="0038751B"/>
    <w:rsid w:val="003915B3"/>
    <w:rsid w:val="00391B7E"/>
    <w:rsid w:val="003929C7"/>
    <w:rsid w:val="00393258"/>
    <w:rsid w:val="00393348"/>
    <w:rsid w:val="003937A1"/>
    <w:rsid w:val="00393D84"/>
    <w:rsid w:val="00395FFC"/>
    <w:rsid w:val="0039645A"/>
    <w:rsid w:val="0039749A"/>
    <w:rsid w:val="00397580"/>
    <w:rsid w:val="003978BA"/>
    <w:rsid w:val="003A0A7B"/>
    <w:rsid w:val="003A1A54"/>
    <w:rsid w:val="003A3A60"/>
    <w:rsid w:val="003A3DBE"/>
    <w:rsid w:val="003A4E3B"/>
    <w:rsid w:val="003A5942"/>
    <w:rsid w:val="003A62E6"/>
    <w:rsid w:val="003A6670"/>
    <w:rsid w:val="003A6E15"/>
    <w:rsid w:val="003A71A4"/>
    <w:rsid w:val="003A7C40"/>
    <w:rsid w:val="003A7DE7"/>
    <w:rsid w:val="003B16AE"/>
    <w:rsid w:val="003B19CE"/>
    <w:rsid w:val="003B1BF9"/>
    <w:rsid w:val="003B2462"/>
    <w:rsid w:val="003B2A55"/>
    <w:rsid w:val="003B361F"/>
    <w:rsid w:val="003B3B22"/>
    <w:rsid w:val="003B4336"/>
    <w:rsid w:val="003B7773"/>
    <w:rsid w:val="003B7DCA"/>
    <w:rsid w:val="003C02C8"/>
    <w:rsid w:val="003C3902"/>
    <w:rsid w:val="003C56B6"/>
    <w:rsid w:val="003C5CD4"/>
    <w:rsid w:val="003D13F0"/>
    <w:rsid w:val="003D25FC"/>
    <w:rsid w:val="003D36CC"/>
    <w:rsid w:val="003D5F30"/>
    <w:rsid w:val="003D6C3C"/>
    <w:rsid w:val="003E1168"/>
    <w:rsid w:val="003E14F1"/>
    <w:rsid w:val="003E1F32"/>
    <w:rsid w:val="003E4353"/>
    <w:rsid w:val="003E48FD"/>
    <w:rsid w:val="003E52DE"/>
    <w:rsid w:val="003E6332"/>
    <w:rsid w:val="003E7BC2"/>
    <w:rsid w:val="003F0A41"/>
    <w:rsid w:val="003F1056"/>
    <w:rsid w:val="003F17A4"/>
    <w:rsid w:val="003F2EE2"/>
    <w:rsid w:val="003F4DE6"/>
    <w:rsid w:val="003F505F"/>
    <w:rsid w:val="003F5674"/>
    <w:rsid w:val="003F69AC"/>
    <w:rsid w:val="003F6ACF"/>
    <w:rsid w:val="003F7022"/>
    <w:rsid w:val="003F78B4"/>
    <w:rsid w:val="003F7C7C"/>
    <w:rsid w:val="00400F33"/>
    <w:rsid w:val="00401093"/>
    <w:rsid w:val="00402B94"/>
    <w:rsid w:val="00402BB7"/>
    <w:rsid w:val="004041FA"/>
    <w:rsid w:val="004049FE"/>
    <w:rsid w:val="00405601"/>
    <w:rsid w:val="004101B0"/>
    <w:rsid w:val="004123CF"/>
    <w:rsid w:val="004165E8"/>
    <w:rsid w:val="0041663F"/>
    <w:rsid w:val="00420096"/>
    <w:rsid w:val="0042312E"/>
    <w:rsid w:val="00423D39"/>
    <w:rsid w:val="00423DAF"/>
    <w:rsid w:val="00424DF0"/>
    <w:rsid w:val="004252AB"/>
    <w:rsid w:val="00425FEC"/>
    <w:rsid w:val="00426E6E"/>
    <w:rsid w:val="0042729A"/>
    <w:rsid w:val="0043045A"/>
    <w:rsid w:val="004327D9"/>
    <w:rsid w:val="00432C9F"/>
    <w:rsid w:val="0043325C"/>
    <w:rsid w:val="004340AE"/>
    <w:rsid w:val="00434754"/>
    <w:rsid w:val="0043552F"/>
    <w:rsid w:val="00436578"/>
    <w:rsid w:val="004406C5"/>
    <w:rsid w:val="0044215A"/>
    <w:rsid w:val="004422CD"/>
    <w:rsid w:val="00443262"/>
    <w:rsid w:val="00443DFB"/>
    <w:rsid w:val="00444295"/>
    <w:rsid w:val="00444518"/>
    <w:rsid w:val="00444F91"/>
    <w:rsid w:val="00444FA9"/>
    <w:rsid w:val="00445FED"/>
    <w:rsid w:val="004471C0"/>
    <w:rsid w:val="00447946"/>
    <w:rsid w:val="00447A33"/>
    <w:rsid w:val="004509CB"/>
    <w:rsid w:val="00450B68"/>
    <w:rsid w:val="00451163"/>
    <w:rsid w:val="00452DC9"/>
    <w:rsid w:val="0045320A"/>
    <w:rsid w:val="00454423"/>
    <w:rsid w:val="00454F2D"/>
    <w:rsid w:val="0045622E"/>
    <w:rsid w:val="00457547"/>
    <w:rsid w:val="00457FA1"/>
    <w:rsid w:val="004609D7"/>
    <w:rsid w:val="004611C0"/>
    <w:rsid w:val="004647F7"/>
    <w:rsid w:val="00465A73"/>
    <w:rsid w:val="00466805"/>
    <w:rsid w:val="0047045D"/>
    <w:rsid w:val="00471E0D"/>
    <w:rsid w:val="00472DDD"/>
    <w:rsid w:val="00472EDE"/>
    <w:rsid w:val="00473178"/>
    <w:rsid w:val="00473D2D"/>
    <w:rsid w:val="00473D30"/>
    <w:rsid w:val="00473F73"/>
    <w:rsid w:val="0047507D"/>
    <w:rsid w:val="00475598"/>
    <w:rsid w:val="00475967"/>
    <w:rsid w:val="00476F5C"/>
    <w:rsid w:val="00480009"/>
    <w:rsid w:val="00483562"/>
    <w:rsid w:val="00484B4A"/>
    <w:rsid w:val="00486BB5"/>
    <w:rsid w:val="004901BD"/>
    <w:rsid w:val="004908AF"/>
    <w:rsid w:val="004926E6"/>
    <w:rsid w:val="00494067"/>
    <w:rsid w:val="00495842"/>
    <w:rsid w:val="00495C57"/>
    <w:rsid w:val="00495CDA"/>
    <w:rsid w:val="00495EDC"/>
    <w:rsid w:val="004A113B"/>
    <w:rsid w:val="004A2F5C"/>
    <w:rsid w:val="004A4A7C"/>
    <w:rsid w:val="004A4FC9"/>
    <w:rsid w:val="004A50AD"/>
    <w:rsid w:val="004A653D"/>
    <w:rsid w:val="004A669F"/>
    <w:rsid w:val="004A6EFE"/>
    <w:rsid w:val="004A72B1"/>
    <w:rsid w:val="004A72DA"/>
    <w:rsid w:val="004A7C18"/>
    <w:rsid w:val="004A7F44"/>
    <w:rsid w:val="004B0958"/>
    <w:rsid w:val="004B0AB6"/>
    <w:rsid w:val="004B545D"/>
    <w:rsid w:val="004B619B"/>
    <w:rsid w:val="004B6F07"/>
    <w:rsid w:val="004B74A5"/>
    <w:rsid w:val="004C30EA"/>
    <w:rsid w:val="004C314F"/>
    <w:rsid w:val="004C69CA"/>
    <w:rsid w:val="004C6DFA"/>
    <w:rsid w:val="004D0CF6"/>
    <w:rsid w:val="004D52EE"/>
    <w:rsid w:val="004D77C1"/>
    <w:rsid w:val="004D7FB8"/>
    <w:rsid w:val="004E2ABC"/>
    <w:rsid w:val="004E2C19"/>
    <w:rsid w:val="004E31B4"/>
    <w:rsid w:val="004E34CD"/>
    <w:rsid w:val="004E39C9"/>
    <w:rsid w:val="004E5A95"/>
    <w:rsid w:val="004E6489"/>
    <w:rsid w:val="004E78BA"/>
    <w:rsid w:val="004E7A29"/>
    <w:rsid w:val="004E7D05"/>
    <w:rsid w:val="004F5C5D"/>
    <w:rsid w:val="004F5CAB"/>
    <w:rsid w:val="004F63D3"/>
    <w:rsid w:val="004F7A1B"/>
    <w:rsid w:val="004F7A5C"/>
    <w:rsid w:val="0050037F"/>
    <w:rsid w:val="00500A63"/>
    <w:rsid w:val="005035E7"/>
    <w:rsid w:val="00505280"/>
    <w:rsid w:val="00506737"/>
    <w:rsid w:val="00506989"/>
    <w:rsid w:val="00507F65"/>
    <w:rsid w:val="00507FFE"/>
    <w:rsid w:val="00510ACF"/>
    <w:rsid w:val="005114CC"/>
    <w:rsid w:val="0051153B"/>
    <w:rsid w:val="00511739"/>
    <w:rsid w:val="00514D3F"/>
    <w:rsid w:val="00517690"/>
    <w:rsid w:val="005176E6"/>
    <w:rsid w:val="00517E10"/>
    <w:rsid w:val="00520679"/>
    <w:rsid w:val="005207F0"/>
    <w:rsid w:val="00524BC8"/>
    <w:rsid w:val="00524D52"/>
    <w:rsid w:val="00524D69"/>
    <w:rsid w:val="005271DD"/>
    <w:rsid w:val="0053075A"/>
    <w:rsid w:val="005314CF"/>
    <w:rsid w:val="00532EDD"/>
    <w:rsid w:val="005331DC"/>
    <w:rsid w:val="00534AEA"/>
    <w:rsid w:val="005356D9"/>
    <w:rsid w:val="00536540"/>
    <w:rsid w:val="00536DFD"/>
    <w:rsid w:val="00541062"/>
    <w:rsid w:val="00541D98"/>
    <w:rsid w:val="0054215A"/>
    <w:rsid w:val="00543782"/>
    <w:rsid w:val="005447DB"/>
    <w:rsid w:val="0054483B"/>
    <w:rsid w:val="00547723"/>
    <w:rsid w:val="00547CC3"/>
    <w:rsid w:val="00550102"/>
    <w:rsid w:val="00550ADD"/>
    <w:rsid w:val="00552108"/>
    <w:rsid w:val="00553016"/>
    <w:rsid w:val="00553391"/>
    <w:rsid w:val="0055345A"/>
    <w:rsid w:val="005546BC"/>
    <w:rsid w:val="00554B8A"/>
    <w:rsid w:val="0055567D"/>
    <w:rsid w:val="00555D7C"/>
    <w:rsid w:val="00557B1A"/>
    <w:rsid w:val="00557E51"/>
    <w:rsid w:val="00560E96"/>
    <w:rsid w:val="0056180F"/>
    <w:rsid w:val="00563D8E"/>
    <w:rsid w:val="00564EA7"/>
    <w:rsid w:val="00566022"/>
    <w:rsid w:val="00566EC8"/>
    <w:rsid w:val="00567C4F"/>
    <w:rsid w:val="0057075C"/>
    <w:rsid w:val="00571829"/>
    <w:rsid w:val="00573A43"/>
    <w:rsid w:val="00575244"/>
    <w:rsid w:val="00575DA5"/>
    <w:rsid w:val="005769AB"/>
    <w:rsid w:val="0057734A"/>
    <w:rsid w:val="0058178F"/>
    <w:rsid w:val="00582653"/>
    <w:rsid w:val="00583356"/>
    <w:rsid w:val="00585671"/>
    <w:rsid w:val="0058685C"/>
    <w:rsid w:val="00587017"/>
    <w:rsid w:val="0058745D"/>
    <w:rsid w:val="005907E0"/>
    <w:rsid w:val="00590CB4"/>
    <w:rsid w:val="005932E0"/>
    <w:rsid w:val="00593AAB"/>
    <w:rsid w:val="005941E7"/>
    <w:rsid w:val="0059729A"/>
    <w:rsid w:val="00597DDC"/>
    <w:rsid w:val="005A0CA7"/>
    <w:rsid w:val="005A0DCA"/>
    <w:rsid w:val="005A2953"/>
    <w:rsid w:val="005A421B"/>
    <w:rsid w:val="005A584A"/>
    <w:rsid w:val="005A5B4E"/>
    <w:rsid w:val="005A5F31"/>
    <w:rsid w:val="005A5F3B"/>
    <w:rsid w:val="005B155F"/>
    <w:rsid w:val="005B50EC"/>
    <w:rsid w:val="005B6AEA"/>
    <w:rsid w:val="005B727E"/>
    <w:rsid w:val="005C0945"/>
    <w:rsid w:val="005C0F26"/>
    <w:rsid w:val="005C31CC"/>
    <w:rsid w:val="005C383E"/>
    <w:rsid w:val="005C3C7D"/>
    <w:rsid w:val="005C437B"/>
    <w:rsid w:val="005C4478"/>
    <w:rsid w:val="005C4599"/>
    <w:rsid w:val="005C5C86"/>
    <w:rsid w:val="005D0959"/>
    <w:rsid w:val="005D0E6C"/>
    <w:rsid w:val="005D106D"/>
    <w:rsid w:val="005D17CC"/>
    <w:rsid w:val="005D2042"/>
    <w:rsid w:val="005D27B3"/>
    <w:rsid w:val="005D3C2E"/>
    <w:rsid w:val="005D4178"/>
    <w:rsid w:val="005D438F"/>
    <w:rsid w:val="005D5716"/>
    <w:rsid w:val="005D784C"/>
    <w:rsid w:val="005D79F2"/>
    <w:rsid w:val="005E0912"/>
    <w:rsid w:val="005E17D2"/>
    <w:rsid w:val="005E2FE9"/>
    <w:rsid w:val="005E7B23"/>
    <w:rsid w:val="005F0DEE"/>
    <w:rsid w:val="005F0DF8"/>
    <w:rsid w:val="005F141C"/>
    <w:rsid w:val="005F2EB9"/>
    <w:rsid w:val="005F3C18"/>
    <w:rsid w:val="005F4C45"/>
    <w:rsid w:val="005F51EC"/>
    <w:rsid w:val="005F6263"/>
    <w:rsid w:val="005F66F0"/>
    <w:rsid w:val="006002F1"/>
    <w:rsid w:val="00600F97"/>
    <w:rsid w:val="0060105E"/>
    <w:rsid w:val="00601124"/>
    <w:rsid w:val="00601573"/>
    <w:rsid w:val="006015B1"/>
    <w:rsid w:val="00602F88"/>
    <w:rsid w:val="00603C8E"/>
    <w:rsid w:val="00605B10"/>
    <w:rsid w:val="00607C0C"/>
    <w:rsid w:val="00607DD9"/>
    <w:rsid w:val="00610B7B"/>
    <w:rsid w:val="00610D5F"/>
    <w:rsid w:val="00611704"/>
    <w:rsid w:val="00613C6C"/>
    <w:rsid w:val="0061448F"/>
    <w:rsid w:val="00616748"/>
    <w:rsid w:val="00620B7E"/>
    <w:rsid w:val="006210D8"/>
    <w:rsid w:val="0062159A"/>
    <w:rsid w:val="0062322E"/>
    <w:rsid w:val="00624498"/>
    <w:rsid w:val="00624E28"/>
    <w:rsid w:val="0062579E"/>
    <w:rsid w:val="00625AE1"/>
    <w:rsid w:val="00625C65"/>
    <w:rsid w:val="00625FA0"/>
    <w:rsid w:val="00634120"/>
    <w:rsid w:val="006364D1"/>
    <w:rsid w:val="006369DD"/>
    <w:rsid w:val="00640649"/>
    <w:rsid w:val="00642658"/>
    <w:rsid w:val="00642C66"/>
    <w:rsid w:val="0064698A"/>
    <w:rsid w:val="00646A2B"/>
    <w:rsid w:val="00646C6B"/>
    <w:rsid w:val="00646C8A"/>
    <w:rsid w:val="00650F9C"/>
    <w:rsid w:val="0065144B"/>
    <w:rsid w:val="00651668"/>
    <w:rsid w:val="006521B2"/>
    <w:rsid w:val="00652B74"/>
    <w:rsid w:val="00653342"/>
    <w:rsid w:val="0065449C"/>
    <w:rsid w:val="006569AF"/>
    <w:rsid w:val="006573C5"/>
    <w:rsid w:val="00657972"/>
    <w:rsid w:val="00660A3F"/>
    <w:rsid w:val="00660AC7"/>
    <w:rsid w:val="00660BA4"/>
    <w:rsid w:val="00661BA8"/>
    <w:rsid w:val="00662C84"/>
    <w:rsid w:val="00663651"/>
    <w:rsid w:val="00663F54"/>
    <w:rsid w:val="00664543"/>
    <w:rsid w:val="00664802"/>
    <w:rsid w:val="00665817"/>
    <w:rsid w:val="00665F3E"/>
    <w:rsid w:val="00675585"/>
    <w:rsid w:val="00675CC4"/>
    <w:rsid w:val="00675FCE"/>
    <w:rsid w:val="006761A7"/>
    <w:rsid w:val="006761AF"/>
    <w:rsid w:val="00680000"/>
    <w:rsid w:val="00680E57"/>
    <w:rsid w:val="006818CB"/>
    <w:rsid w:val="006826C5"/>
    <w:rsid w:val="00682C98"/>
    <w:rsid w:val="00686549"/>
    <w:rsid w:val="006871F1"/>
    <w:rsid w:val="006937D4"/>
    <w:rsid w:val="006948C2"/>
    <w:rsid w:val="0069515C"/>
    <w:rsid w:val="00695691"/>
    <w:rsid w:val="00695FF8"/>
    <w:rsid w:val="00697259"/>
    <w:rsid w:val="0069749A"/>
    <w:rsid w:val="00697ABF"/>
    <w:rsid w:val="006A0F7F"/>
    <w:rsid w:val="006A1CEE"/>
    <w:rsid w:val="006A26FB"/>
    <w:rsid w:val="006A36DB"/>
    <w:rsid w:val="006A3D65"/>
    <w:rsid w:val="006A3F77"/>
    <w:rsid w:val="006A432B"/>
    <w:rsid w:val="006A6818"/>
    <w:rsid w:val="006B0080"/>
    <w:rsid w:val="006B1451"/>
    <w:rsid w:val="006B1DDC"/>
    <w:rsid w:val="006B26C5"/>
    <w:rsid w:val="006B3051"/>
    <w:rsid w:val="006B5C33"/>
    <w:rsid w:val="006B5C93"/>
    <w:rsid w:val="006B6333"/>
    <w:rsid w:val="006B6866"/>
    <w:rsid w:val="006B6E8B"/>
    <w:rsid w:val="006B77EA"/>
    <w:rsid w:val="006B7A8D"/>
    <w:rsid w:val="006B7EC4"/>
    <w:rsid w:val="006C1191"/>
    <w:rsid w:val="006C2A20"/>
    <w:rsid w:val="006C2F9B"/>
    <w:rsid w:val="006C4239"/>
    <w:rsid w:val="006C4A99"/>
    <w:rsid w:val="006C509F"/>
    <w:rsid w:val="006C663D"/>
    <w:rsid w:val="006D0547"/>
    <w:rsid w:val="006D5E04"/>
    <w:rsid w:val="006D69C8"/>
    <w:rsid w:val="006E1131"/>
    <w:rsid w:val="006E31B4"/>
    <w:rsid w:val="006E3E0C"/>
    <w:rsid w:val="006E54A6"/>
    <w:rsid w:val="006E68A1"/>
    <w:rsid w:val="006F02E4"/>
    <w:rsid w:val="006F0A35"/>
    <w:rsid w:val="006F0ECA"/>
    <w:rsid w:val="006F2035"/>
    <w:rsid w:val="006F3467"/>
    <w:rsid w:val="006F34FE"/>
    <w:rsid w:val="006F466B"/>
    <w:rsid w:val="006F4C25"/>
    <w:rsid w:val="006F7431"/>
    <w:rsid w:val="00704B4D"/>
    <w:rsid w:val="0070530C"/>
    <w:rsid w:val="007062F1"/>
    <w:rsid w:val="0071043B"/>
    <w:rsid w:val="0071234C"/>
    <w:rsid w:val="00714D5B"/>
    <w:rsid w:val="00715E45"/>
    <w:rsid w:val="00716BB2"/>
    <w:rsid w:val="00716BFB"/>
    <w:rsid w:val="0072021D"/>
    <w:rsid w:val="00722214"/>
    <w:rsid w:val="0072524E"/>
    <w:rsid w:val="00725C70"/>
    <w:rsid w:val="00726552"/>
    <w:rsid w:val="0073007D"/>
    <w:rsid w:val="007306A9"/>
    <w:rsid w:val="00731021"/>
    <w:rsid w:val="00731537"/>
    <w:rsid w:val="00732028"/>
    <w:rsid w:val="00732567"/>
    <w:rsid w:val="007330AF"/>
    <w:rsid w:val="00733464"/>
    <w:rsid w:val="0073544C"/>
    <w:rsid w:val="007365AB"/>
    <w:rsid w:val="00736EBE"/>
    <w:rsid w:val="0073725B"/>
    <w:rsid w:val="0073758B"/>
    <w:rsid w:val="00737A9A"/>
    <w:rsid w:val="007401B7"/>
    <w:rsid w:val="007406FB"/>
    <w:rsid w:val="00740774"/>
    <w:rsid w:val="00742C6A"/>
    <w:rsid w:val="00744471"/>
    <w:rsid w:val="0074454B"/>
    <w:rsid w:val="00744A26"/>
    <w:rsid w:val="00745610"/>
    <w:rsid w:val="007456C2"/>
    <w:rsid w:val="0074790A"/>
    <w:rsid w:val="00750A7C"/>
    <w:rsid w:val="00750E5F"/>
    <w:rsid w:val="00750E70"/>
    <w:rsid w:val="00751B8F"/>
    <w:rsid w:val="00752178"/>
    <w:rsid w:val="00752CB9"/>
    <w:rsid w:val="00755D78"/>
    <w:rsid w:val="00756549"/>
    <w:rsid w:val="00756B1B"/>
    <w:rsid w:val="00761CA4"/>
    <w:rsid w:val="00762F4F"/>
    <w:rsid w:val="007653CC"/>
    <w:rsid w:val="0076577F"/>
    <w:rsid w:val="007705D3"/>
    <w:rsid w:val="00770C11"/>
    <w:rsid w:val="00771029"/>
    <w:rsid w:val="00772EBC"/>
    <w:rsid w:val="0077411E"/>
    <w:rsid w:val="00775E4A"/>
    <w:rsid w:val="00777A21"/>
    <w:rsid w:val="00777CAB"/>
    <w:rsid w:val="00780D73"/>
    <w:rsid w:val="007814A8"/>
    <w:rsid w:val="00782D00"/>
    <w:rsid w:val="00783273"/>
    <w:rsid w:val="00783DCE"/>
    <w:rsid w:val="0078590C"/>
    <w:rsid w:val="00785B0D"/>
    <w:rsid w:val="00786100"/>
    <w:rsid w:val="007875A4"/>
    <w:rsid w:val="007911FE"/>
    <w:rsid w:val="00791D3C"/>
    <w:rsid w:val="0079348E"/>
    <w:rsid w:val="00793F4B"/>
    <w:rsid w:val="00794464"/>
    <w:rsid w:val="00794C69"/>
    <w:rsid w:val="00796B38"/>
    <w:rsid w:val="00796D49"/>
    <w:rsid w:val="00797158"/>
    <w:rsid w:val="007A05CF"/>
    <w:rsid w:val="007A0D33"/>
    <w:rsid w:val="007A1C74"/>
    <w:rsid w:val="007A22B0"/>
    <w:rsid w:val="007A30BC"/>
    <w:rsid w:val="007A361F"/>
    <w:rsid w:val="007A61E1"/>
    <w:rsid w:val="007A6277"/>
    <w:rsid w:val="007A6669"/>
    <w:rsid w:val="007B0E32"/>
    <w:rsid w:val="007B1A31"/>
    <w:rsid w:val="007B25BA"/>
    <w:rsid w:val="007B3E64"/>
    <w:rsid w:val="007B3F35"/>
    <w:rsid w:val="007B595D"/>
    <w:rsid w:val="007B647F"/>
    <w:rsid w:val="007B6DA9"/>
    <w:rsid w:val="007C1E00"/>
    <w:rsid w:val="007C1E7D"/>
    <w:rsid w:val="007C24B6"/>
    <w:rsid w:val="007C2B36"/>
    <w:rsid w:val="007C434E"/>
    <w:rsid w:val="007C511A"/>
    <w:rsid w:val="007C55E0"/>
    <w:rsid w:val="007C5D65"/>
    <w:rsid w:val="007C71C9"/>
    <w:rsid w:val="007D0A0C"/>
    <w:rsid w:val="007D0BEA"/>
    <w:rsid w:val="007D1E51"/>
    <w:rsid w:val="007D1EED"/>
    <w:rsid w:val="007D2841"/>
    <w:rsid w:val="007D43EC"/>
    <w:rsid w:val="007D47E8"/>
    <w:rsid w:val="007D4A2D"/>
    <w:rsid w:val="007D564C"/>
    <w:rsid w:val="007D57FB"/>
    <w:rsid w:val="007D7570"/>
    <w:rsid w:val="007E0E44"/>
    <w:rsid w:val="007E365D"/>
    <w:rsid w:val="007E4449"/>
    <w:rsid w:val="007E5406"/>
    <w:rsid w:val="007E5A7A"/>
    <w:rsid w:val="007E64D4"/>
    <w:rsid w:val="007F09B5"/>
    <w:rsid w:val="007F0A81"/>
    <w:rsid w:val="007F18BA"/>
    <w:rsid w:val="007F190B"/>
    <w:rsid w:val="007F3627"/>
    <w:rsid w:val="007F4512"/>
    <w:rsid w:val="007F7C78"/>
    <w:rsid w:val="00800EEC"/>
    <w:rsid w:val="00801585"/>
    <w:rsid w:val="00801B75"/>
    <w:rsid w:val="0080217A"/>
    <w:rsid w:val="00802457"/>
    <w:rsid w:val="00803701"/>
    <w:rsid w:val="00804A3C"/>
    <w:rsid w:val="00804E39"/>
    <w:rsid w:val="008073A9"/>
    <w:rsid w:val="00811283"/>
    <w:rsid w:val="00811788"/>
    <w:rsid w:val="00812409"/>
    <w:rsid w:val="00812F77"/>
    <w:rsid w:val="00813E11"/>
    <w:rsid w:val="008160B7"/>
    <w:rsid w:val="00816328"/>
    <w:rsid w:val="00816C66"/>
    <w:rsid w:val="0081703F"/>
    <w:rsid w:val="00817254"/>
    <w:rsid w:val="008200AD"/>
    <w:rsid w:val="00820505"/>
    <w:rsid w:val="00821222"/>
    <w:rsid w:val="00821987"/>
    <w:rsid w:val="00822266"/>
    <w:rsid w:val="0082268B"/>
    <w:rsid w:val="008226D1"/>
    <w:rsid w:val="0082448E"/>
    <w:rsid w:val="0082545E"/>
    <w:rsid w:val="008266AC"/>
    <w:rsid w:val="00826F9F"/>
    <w:rsid w:val="008274C3"/>
    <w:rsid w:val="008317F7"/>
    <w:rsid w:val="008327F4"/>
    <w:rsid w:val="00832A8C"/>
    <w:rsid w:val="00833EB9"/>
    <w:rsid w:val="008365F0"/>
    <w:rsid w:val="00836DE2"/>
    <w:rsid w:val="0083735C"/>
    <w:rsid w:val="008423EE"/>
    <w:rsid w:val="00842D1C"/>
    <w:rsid w:val="00843259"/>
    <w:rsid w:val="0084336E"/>
    <w:rsid w:val="008449CC"/>
    <w:rsid w:val="0084684B"/>
    <w:rsid w:val="00850B00"/>
    <w:rsid w:val="00851E2E"/>
    <w:rsid w:val="008520AE"/>
    <w:rsid w:val="008524B1"/>
    <w:rsid w:val="00853ACC"/>
    <w:rsid w:val="00854CDF"/>
    <w:rsid w:val="00854D28"/>
    <w:rsid w:val="00855EE5"/>
    <w:rsid w:val="00857F7B"/>
    <w:rsid w:val="0086395A"/>
    <w:rsid w:val="00864BE1"/>
    <w:rsid w:val="008713F5"/>
    <w:rsid w:val="008720EB"/>
    <w:rsid w:val="008721D3"/>
    <w:rsid w:val="008725C1"/>
    <w:rsid w:val="00872766"/>
    <w:rsid w:val="00873380"/>
    <w:rsid w:val="0087431A"/>
    <w:rsid w:val="00874906"/>
    <w:rsid w:val="00874D99"/>
    <w:rsid w:val="00876C5E"/>
    <w:rsid w:val="00882E38"/>
    <w:rsid w:val="00890B26"/>
    <w:rsid w:val="00892040"/>
    <w:rsid w:val="00895184"/>
    <w:rsid w:val="00895642"/>
    <w:rsid w:val="00895E3F"/>
    <w:rsid w:val="00896E93"/>
    <w:rsid w:val="00896FA4"/>
    <w:rsid w:val="0089758D"/>
    <w:rsid w:val="008A19BE"/>
    <w:rsid w:val="008A2836"/>
    <w:rsid w:val="008A3EE1"/>
    <w:rsid w:val="008A4E70"/>
    <w:rsid w:val="008A581D"/>
    <w:rsid w:val="008A6508"/>
    <w:rsid w:val="008B01F4"/>
    <w:rsid w:val="008B1871"/>
    <w:rsid w:val="008B20EC"/>
    <w:rsid w:val="008B305E"/>
    <w:rsid w:val="008B3B75"/>
    <w:rsid w:val="008B5339"/>
    <w:rsid w:val="008B7940"/>
    <w:rsid w:val="008B7D71"/>
    <w:rsid w:val="008B7E2E"/>
    <w:rsid w:val="008C0A8C"/>
    <w:rsid w:val="008C0ABD"/>
    <w:rsid w:val="008C2523"/>
    <w:rsid w:val="008C27AE"/>
    <w:rsid w:val="008C6A52"/>
    <w:rsid w:val="008C6C19"/>
    <w:rsid w:val="008C75D3"/>
    <w:rsid w:val="008C7A86"/>
    <w:rsid w:val="008C7EB7"/>
    <w:rsid w:val="008D290F"/>
    <w:rsid w:val="008D292C"/>
    <w:rsid w:val="008D3378"/>
    <w:rsid w:val="008D3958"/>
    <w:rsid w:val="008D3C90"/>
    <w:rsid w:val="008D5981"/>
    <w:rsid w:val="008D5BC9"/>
    <w:rsid w:val="008D68E0"/>
    <w:rsid w:val="008D6FC2"/>
    <w:rsid w:val="008E296F"/>
    <w:rsid w:val="008E3665"/>
    <w:rsid w:val="008E52E0"/>
    <w:rsid w:val="008E678D"/>
    <w:rsid w:val="008E6A2C"/>
    <w:rsid w:val="008F080C"/>
    <w:rsid w:val="008F0988"/>
    <w:rsid w:val="008F1B16"/>
    <w:rsid w:val="008F26CC"/>
    <w:rsid w:val="008F338F"/>
    <w:rsid w:val="008F3BC4"/>
    <w:rsid w:val="008F4330"/>
    <w:rsid w:val="008F558F"/>
    <w:rsid w:val="008F599B"/>
    <w:rsid w:val="008F695E"/>
    <w:rsid w:val="009003B4"/>
    <w:rsid w:val="009004A0"/>
    <w:rsid w:val="00901CCF"/>
    <w:rsid w:val="009032D2"/>
    <w:rsid w:val="00903573"/>
    <w:rsid w:val="00903F6D"/>
    <w:rsid w:val="00904BB4"/>
    <w:rsid w:val="00906592"/>
    <w:rsid w:val="0090730F"/>
    <w:rsid w:val="0090764B"/>
    <w:rsid w:val="00910C10"/>
    <w:rsid w:val="00910EF3"/>
    <w:rsid w:val="00910FAA"/>
    <w:rsid w:val="009113F3"/>
    <w:rsid w:val="00911837"/>
    <w:rsid w:val="009147A5"/>
    <w:rsid w:val="00916BA6"/>
    <w:rsid w:val="00917E33"/>
    <w:rsid w:val="0092109C"/>
    <w:rsid w:val="00922D14"/>
    <w:rsid w:val="00923653"/>
    <w:rsid w:val="00923727"/>
    <w:rsid w:val="009238A2"/>
    <w:rsid w:val="00924761"/>
    <w:rsid w:val="00925A39"/>
    <w:rsid w:val="00926433"/>
    <w:rsid w:val="009310B8"/>
    <w:rsid w:val="009312E5"/>
    <w:rsid w:val="00933666"/>
    <w:rsid w:val="00934372"/>
    <w:rsid w:val="009351DB"/>
    <w:rsid w:val="00937FEE"/>
    <w:rsid w:val="00940C1B"/>
    <w:rsid w:val="00941124"/>
    <w:rsid w:val="00941DD4"/>
    <w:rsid w:val="00942CCC"/>
    <w:rsid w:val="00944992"/>
    <w:rsid w:val="009449DC"/>
    <w:rsid w:val="009450F2"/>
    <w:rsid w:val="009468BE"/>
    <w:rsid w:val="009469B9"/>
    <w:rsid w:val="00946B48"/>
    <w:rsid w:val="009475A6"/>
    <w:rsid w:val="00950C42"/>
    <w:rsid w:val="00950CA7"/>
    <w:rsid w:val="00951282"/>
    <w:rsid w:val="0095146A"/>
    <w:rsid w:val="00951DD6"/>
    <w:rsid w:val="00952AA3"/>
    <w:rsid w:val="00953D13"/>
    <w:rsid w:val="0095450D"/>
    <w:rsid w:val="009550A6"/>
    <w:rsid w:val="00955AE8"/>
    <w:rsid w:val="00955BB3"/>
    <w:rsid w:val="00956272"/>
    <w:rsid w:val="00960D44"/>
    <w:rsid w:val="00961DF9"/>
    <w:rsid w:val="00962568"/>
    <w:rsid w:val="009629AF"/>
    <w:rsid w:val="0096595A"/>
    <w:rsid w:val="00967304"/>
    <w:rsid w:val="00970887"/>
    <w:rsid w:val="009715BA"/>
    <w:rsid w:val="00972099"/>
    <w:rsid w:val="00972267"/>
    <w:rsid w:val="00975932"/>
    <w:rsid w:val="00975C6C"/>
    <w:rsid w:val="00975FEA"/>
    <w:rsid w:val="009764E1"/>
    <w:rsid w:val="009765A6"/>
    <w:rsid w:val="00976D31"/>
    <w:rsid w:val="0097737F"/>
    <w:rsid w:val="00980608"/>
    <w:rsid w:val="0098085A"/>
    <w:rsid w:val="00982905"/>
    <w:rsid w:val="009829FB"/>
    <w:rsid w:val="00982E28"/>
    <w:rsid w:val="00983211"/>
    <w:rsid w:val="0098378B"/>
    <w:rsid w:val="00984EEE"/>
    <w:rsid w:val="00986353"/>
    <w:rsid w:val="0098650F"/>
    <w:rsid w:val="00987D3E"/>
    <w:rsid w:val="00991B57"/>
    <w:rsid w:val="00991E86"/>
    <w:rsid w:val="00992434"/>
    <w:rsid w:val="009945D2"/>
    <w:rsid w:val="009972F8"/>
    <w:rsid w:val="009975DB"/>
    <w:rsid w:val="00997AF9"/>
    <w:rsid w:val="009A0EE3"/>
    <w:rsid w:val="009A213C"/>
    <w:rsid w:val="009A2193"/>
    <w:rsid w:val="009A23BA"/>
    <w:rsid w:val="009A342D"/>
    <w:rsid w:val="009A4374"/>
    <w:rsid w:val="009A4E64"/>
    <w:rsid w:val="009A5A90"/>
    <w:rsid w:val="009A6237"/>
    <w:rsid w:val="009A6E47"/>
    <w:rsid w:val="009A7634"/>
    <w:rsid w:val="009A7AA8"/>
    <w:rsid w:val="009B03C0"/>
    <w:rsid w:val="009B05B1"/>
    <w:rsid w:val="009B1465"/>
    <w:rsid w:val="009B1BD1"/>
    <w:rsid w:val="009B298E"/>
    <w:rsid w:val="009B2A4D"/>
    <w:rsid w:val="009B4854"/>
    <w:rsid w:val="009B5661"/>
    <w:rsid w:val="009B568A"/>
    <w:rsid w:val="009B67D9"/>
    <w:rsid w:val="009B7763"/>
    <w:rsid w:val="009C0F42"/>
    <w:rsid w:val="009C3060"/>
    <w:rsid w:val="009C4827"/>
    <w:rsid w:val="009C4DDE"/>
    <w:rsid w:val="009C5992"/>
    <w:rsid w:val="009C5D53"/>
    <w:rsid w:val="009C798D"/>
    <w:rsid w:val="009C79E1"/>
    <w:rsid w:val="009D0004"/>
    <w:rsid w:val="009D00D6"/>
    <w:rsid w:val="009D1CD6"/>
    <w:rsid w:val="009D2E8A"/>
    <w:rsid w:val="009D65B8"/>
    <w:rsid w:val="009D740A"/>
    <w:rsid w:val="009D7515"/>
    <w:rsid w:val="009D7F8E"/>
    <w:rsid w:val="009E20F7"/>
    <w:rsid w:val="009E2F04"/>
    <w:rsid w:val="009E4C9D"/>
    <w:rsid w:val="009E71F9"/>
    <w:rsid w:val="009E7A02"/>
    <w:rsid w:val="009F038C"/>
    <w:rsid w:val="009F1E1A"/>
    <w:rsid w:val="009F34C1"/>
    <w:rsid w:val="009F54BA"/>
    <w:rsid w:val="009F5851"/>
    <w:rsid w:val="009F6C4F"/>
    <w:rsid w:val="009F7BB6"/>
    <w:rsid w:val="00A030FB"/>
    <w:rsid w:val="00A03617"/>
    <w:rsid w:val="00A04D75"/>
    <w:rsid w:val="00A07A84"/>
    <w:rsid w:val="00A108D9"/>
    <w:rsid w:val="00A10CF2"/>
    <w:rsid w:val="00A12A1D"/>
    <w:rsid w:val="00A13CCB"/>
    <w:rsid w:val="00A13F78"/>
    <w:rsid w:val="00A15635"/>
    <w:rsid w:val="00A1714A"/>
    <w:rsid w:val="00A1760F"/>
    <w:rsid w:val="00A17C28"/>
    <w:rsid w:val="00A20602"/>
    <w:rsid w:val="00A21A8C"/>
    <w:rsid w:val="00A21FF6"/>
    <w:rsid w:val="00A24587"/>
    <w:rsid w:val="00A247B6"/>
    <w:rsid w:val="00A25D9C"/>
    <w:rsid w:val="00A27920"/>
    <w:rsid w:val="00A27CF9"/>
    <w:rsid w:val="00A31138"/>
    <w:rsid w:val="00A323EA"/>
    <w:rsid w:val="00A329F3"/>
    <w:rsid w:val="00A353A4"/>
    <w:rsid w:val="00A35B9A"/>
    <w:rsid w:val="00A36D8C"/>
    <w:rsid w:val="00A37061"/>
    <w:rsid w:val="00A41E48"/>
    <w:rsid w:val="00A42E06"/>
    <w:rsid w:val="00A4391A"/>
    <w:rsid w:val="00A44B39"/>
    <w:rsid w:val="00A46DAB"/>
    <w:rsid w:val="00A53453"/>
    <w:rsid w:val="00A54701"/>
    <w:rsid w:val="00A54731"/>
    <w:rsid w:val="00A550FD"/>
    <w:rsid w:val="00A567C2"/>
    <w:rsid w:val="00A57D3A"/>
    <w:rsid w:val="00A6000E"/>
    <w:rsid w:val="00A6087E"/>
    <w:rsid w:val="00A60C74"/>
    <w:rsid w:val="00A61AE3"/>
    <w:rsid w:val="00A6673E"/>
    <w:rsid w:val="00A67978"/>
    <w:rsid w:val="00A708E0"/>
    <w:rsid w:val="00A71292"/>
    <w:rsid w:val="00A723E2"/>
    <w:rsid w:val="00A72491"/>
    <w:rsid w:val="00A72553"/>
    <w:rsid w:val="00A75D85"/>
    <w:rsid w:val="00A75ED8"/>
    <w:rsid w:val="00A766FC"/>
    <w:rsid w:val="00A77B57"/>
    <w:rsid w:val="00A817F0"/>
    <w:rsid w:val="00A83A0F"/>
    <w:rsid w:val="00A864F0"/>
    <w:rsid w:val="00A902C3"/>
    <w:rsid w:val="00A9079C"/>
    <w:rsid w:val="00A90F49"/>
    <w:rsid w:val="00A9107F"/>
    <w:rsid w:val="00A92512"/>
    <w:rsid w:val="00A92FC7"/>
    <w:rsid w:val="00A931A3"/>
    <w:rsid w:val="00A947EC"/>
    <w:rsid w:val="00A9494B"/>
    <w:rsid w:val="00A9595E"/>
    <w:rsid w:val="00A95B76"/>
    <w:rsid w:val="00A97758"/>
    <w:rsid w:val="00AA12F4"/>
    <w:rsid w:val="00AA30BD"/>
    <w:rsid w:val="00AA355B"/>
    <w:rsid w:val="00AA3664"/>
    <w:rsid w:val="00AA6949"/>
    <w:rsid w:val="00AA771F"/>
    <w:rsid w:val="00AA7C70"/>
    <w:rsid w:val="00AB13CA"/>
    <w:rsid w:val="00AB1FE7"/>
    <w:rsid w:val="00AB2998"/>
    <w:rsid w:val="00AB5E6E"/>
    <w:rsid w:val="00AB64B6"/>
    <w:rsid w:val="00AB6800"/>
    <w:rsid w:val="00AB6F9E"/>
    <w:rsid w:val="00AC0DAD"/>
    <w:rsid w:val="00AC19DC"/>
    <w:rsid w:val="00AC551E"/>
    <w:rsid w:val="00AC5A6C"/>
    <w:rsid w:val="00AC5FE2"/>
    <w:rsid w:val="00AC7A64"/>
    <w:rsid w:val="00AD1E91"/>
    <w:rsid w:val="00AD2638"/>
    <w:rsid w:val="00AD628D"/>
    <w:rsid w:val="00AE0A42"/>
    <w:rsid w:val="00AE10A9"/>
    <w:rsid w:val="00AE1C6D"/>
    <w:rsid w:val="00AE2692"/>
    <w:rsid w:val="00AE2EBE"/>
    <w:rsid w:val="00AE30A0"/>
    <w:rsid w:val="00AE344C"/>
    <w:rsid w:val="00AE3567"/>
    <w:rsid w:val="00AE4308"/>
    <w:rsid w:val="00AE54F8"/>
    <w:rsid w:val="00AE5C90"/>
    <w:rsid w:val="00AE5CAA"/>
    <w:rsid w:val="00AE6ED2"/>
    <w:rsid w:val="00AE730F"/>
    <w:rsid w:val="00AF0488"/>
    <w:rsid w:val="00AF265F"/>
    <w:rsid w:val="00AF3A38"/>
    <w:rsid w:val="00AF3AD8"/>
    <w:rsid w:val="00AF3D9E"/>
    <w:rsid w:val="00AF40F6"/>
    <w:rsid w:val="00AF467D"/>
    <w:rsid w:val="00AF4B98"/>
    <w:rsid w:val="00AF4D5A"/>
    <w:rsid w:val="00AF5719"/>
    <w:rsid w:val="00B007FA"/>
    <w:rsid w:val="00B01079"/>
    <w:rsid w:val="00B02745"/>
    <w:rsid w:val="00B02B4E"/>
    <w:rsid w:val="00B035A7"/>
    <w:rsid w:val="00B055B6"/>
    <w:rsid w:val="00B05EA6"/>
    <w:rsid w:val="00B0641F"/>
    <w:rsid w:val="00B0648C"/>
    <w:rsid w:val="00B073FF"/>
    <w:rsid w:val="00B07DBC"/>
    <w:rsid w:val="00B12984"/>
    <w:rsid w:val="00B148B8"/>
    <w:rsid w:val="00B163AD"/>
    <w:rsid w:val="00B2193A"/>
    <w:rsid w:val="00B26216"/>
    <w:rsid w:val="00B3257C"/>
    <w:rsid w:val="00B33038"/>
    <w:rsid w:val="00B332DD"/>
    <w:rsid w:val="00B33537"/>
    <w:rsid w:val="00B35511"/>
    <w:rsid w:val="00B357F5"/>
    <w:rsid w:val="00B35AF8"/>
    <w:rsid w:val="00B368C1"/>
    <w:rsid w:val="00B369EC"/>
    <w:rsid w:val="00B375CB"/>
    <w:rsid w:val="00B40A73"/>
    <w:rsid w:val="00B40F34"/>
    <w:rsid w:val="00B41870"/>
    <w:rsid w:val="00B4245C"/>
    <w:rsid w:val="00B4297D"/>
    <w:rsid w:val="00B435E6"/>
    <w:rsid w:val="00B43717"/>
    <w:rsid w:val="00B4444E"/>
    <w:rsid w:val="00B44C8E"/>
    <w:rsid w:val="00B4636F"/>
    <w:rsid w:val="00B50B08"/>
    <w:rsid w:val="00B50B9F"/>
    <w:rsid w:val="00B50F7F"/>
    <w:rsid w:val="00B53948"/>
    <w:rsid w:val="00B53A9E"/>
    <w:rsid w:val="00B54339"/>
    <w:rsid w:val="00B549FD"/>
    <w:rsid w:val="00B55A42"/>
    <w:rsid w:val="00B55B5E"/>
    <w:rsid w:val="00B57E8F"/>
    <w:rsid w:val="00B615E3"/>
    <w:rsid w:val="00B6172C"/>
    <w:rsid w:val="00B626B3"/>
    <w:rsid w:val="00B628D0"/>
    <w:rsid w:val="00B649B6"/>
    <w:rsid w:val="00B65FA4"/>
    <w:rsid w:val="00B6795D"/>
    <w:rsid w:val="00B70749"/>
    <w:rsid w:val="00B70BB2"/>
    <w:rsid w:val="00B71893"/>
    <w:rsid w:val="00B72FAD"/>
    <w:rsid w:val="00B7344B"/>
    <w:rsid w:val="00B73AA7"/>
    <w:rsid w:val="00B744D9"/>
    <w:rsid w:val="00B74F3E"/>
    <w:rsid w:val="00B76945"/>
    <w:rsid w:val="00B77292"/>
    <w:rsid w:val="00B77997"/>
    <w:rsid w:val="00B77ECB"/>
    <w:rsid w:val="00B80529"/>
    <w:rsid w:val="00B80FC0"/>
    <w:rsid w:val="00B81393"/>
    <w:rsid w:val="00B82EDA"/>
    <w:rsid w:val="00B83599"/>
    <w:rsid w:val="00B839FB"/>
    <w:rsid w:val="00B848F4"/>
    <w:rsid w:val="00B90309"/>
    <w:rsid w:val="00B91901"/>
    <w:rsid w:val="00B91909"/>
    <w:rsid w:val="00B91E44"/>
    <w:rsid w:val="00B93E16"/>
    <w:rsid w:val="00B93E73"/>
    <w:rsid w:val="00B970A3"/>
    <w:rsid w:val="00BA09E2"/>
    <w:rsid w:val="00BA1288"/>
    <w:rsid w:val="00BA2988"/>
    <w:rsid w:val="00BA2B57"/>
    <w:rsid w:val="00BA4026"/>
    <w:rsid w:val="00BA41AA"/>
    <w:rsid w:val="00BA51EE"/>
    <w:rsid w:val="00BA7065"/>
    <w:rsid w:val="00BA70D4"/>
    <w:rsid w:val="00BB1466"/>
    <w:rsid w:val="00BB1BFE"/>
    <w:rsid w:val="00BB474A"/>
    <w:rsid w:val="00BB64A0"/>
    <w:rsid w:val="00BB6DCE"/>
    <w:rsid w:val="00BB7AB5"/>
    <w:rsid w:val="00BC0E31"/>
    <w:rsid w:val="00BC268F"/>
    <w:rsid w:val="00BC3F8A"/>
    <w:rsid w:val="00BC6430"/>
    <w:rsid w:val="00BC66E2"/>
    <w:rsid w:val="00BD0C82"/>
    <w:rsid w:val="00BD156F"/>
    <w:rsid w:val="00BD25D0"/>
    <w:rsid w:val="00BD27B3"/>
    <w:rsid w:val="00BD44D2"/>
    <w:rsid w:val="00BD46CE"/>
    <w:rsid w:val="00BE2210"/>
    <w:rsid w:val="00BE4D84"/>
    <w:rsid w:val="00BE5B2A"/>
    <w:rsid w:val="00BE5C0C"/>
    <w:rsid w:val="00BE6945"/>
    <w:rsid w:val="00BE7443"/>
    <w:rsid w:val="00BF1809"/>
    <w:rsid w:val="00BF1B58"/>
    <w:rsid w:val="00BF2A22"/>
    <w:rsid w:val="00BF49E6"/>
    <w:rsid w:val="00BF58FC"/>
    <w:rsid w:val="00BF78E0"/>
    <w:rsid w:val="00C01D73"/>
    <w:rsid w:val="00C02ED6"/>
    <w:rsid w:val="00C039B6"/>
    <w:rsid w:val="00C05B7F"/>
    <w:rsid w:val="00C06643"/>
    <w:rsid w:val="00C074C5"/>
    <w:rsid w:val="00C077DA"/>
    <w:rsid w:val="00C11E90"/>
    <w:rsid w:val="00C13D4E"/>
    <w:rsid w:val="00C1590D"/>
    <w:rsid w:val="00C171C2"/>
    <w:rsid w:val="00C220F1"/>
    <w:rsid w:val="00C2337D"/>
    <w:rsid w:val="00C23F1B"/>
    <w:rsid w:val="00C270DA"/>
    <w:rsid w:val="00C306A4"/>
    <w:rsid w:val="00C30998"/>
    <w:rsid w:val="00C30A11"/>
    <w:rsid w:val="00C30A9F"/>
    <w:rsid w:val="00C30B7B"/>
    <w:rsid w:val="00C325CA"/>
    <w:rsid w:val="00C325D7"/>
    <w:rsid w:val="00C32838"/>
    <w:rsid w:val="00C32EA2"/>
    <w:rsid w:val="00C35613"/>
    <w:rsid w:val="00C37561"/>
    <w:rsid w:val="00C4024D"/>
    <w:rsid w:val="00C40F0A"/>
    <w:rsid w:val="00C421C3"/>
    <w:rsid w:val="00C4284B"/>
    <w:rsid w:val="00C431F2"/>
    <w:rsid w:val="00C43F7D"/>
    <w:rsid w:val="00C44277"/>
    <w:rsid w:val="00C45D48"/>
    <w:rsid w:val="00C464B3"/>
    <w:rsid w:val="00C5340D"/>
    <w:rsid w:val="00C55411"/>
    <w:rsid w:val="00C55B38"/>
    <w:rsid w:val="00C56000"/>
    <w:rsid w:val="00C56A37"/>
    <w:rsid w:val="00C56C82"/>
    <w:rsid w:val="00C60369"/>
    <w:rsid w:val="00C60629"/>
    <w:rsid w:val="00C60D3B"/>
    <w:rsid w:val="00C62226"/>
    <w:rsid w:val="00C632A0"/>
    <w:rsid w:val="00C63A37"/>
    <w:rsid w:val="00C63FFF"/>
    <w:rsid w:val="00C64553"/>
    <w:rsid w:val="00C64849"/>
    <w:rsid w:val="00C65906"/>
    <w:rsid w:val="00C672DD"/>
    <w:rsid w:val="00C7109D"/>
    <w:rsid w:val="00C7120E"/>
    <w:rsid w:val="00C7151C"/>
    <w:rsid w:val="00C7376C"/>
    <w:rsid w:val="00C74344"/>
    <w:rsid w:val="00C749B1"/>
    <w:rsid w:val="00C75085"/>
    <w:rsid w:val="00C761AE"/>
    <w:rsid w:val="00C773C2"/>
    <w:rsid w:val="00C77A3A"/>
    <w:rsid w:val="00C80225"/>
    <w:rsid w:val="00C81504"/>
    <w:rsid w:val="00C83693"/>
    <w:rsid w:val="00C83CA2"/>
    <w:rsid w:val="00C8605D"/>
    <w:rsid w:val="00C869C3"/>
    <w:rsid w:val="00C87064"/>
    <w:rsid w:val="00C87BA0"/>
    <w:rsid w:val="00C901CF"/>
    <w:rsid w:val="00C91576"/>
    <w:rsid w:val="00C915F2"/>
    <w:rsid w:val="00C91825"/>
    <w:rsid w:val="00C92715"/>
    <w:rsid w:val="00C93C20"/>
    <w:rsid w:val="00C94581"/>
    <w:rsid w:val="00C953A8"/>
    <w:rsid w:val="00C96493"/>
    <w:rsid w:val="00C96C9D"/>
    <w:rsid w:val="00C979C3"/>
    <w:rsid w:val="00CA2AA1"/>
    <w:rsid w:val="00CA3078"/>
    <w:rsid w:val="00CA3DA3"/>
    <w:rsid w:val="00CA40E0"/>
    <w:rsid w:val="00CA4706"/>
    <w:rsid w:val="00CA4BF2"/>
    <w:rsid w:val="00CA5ED8"/>
    <w:rsid w:val="00CA6137"/>
    <w:rsid w:val="00CB14A8"/>
    <w:rsid w:val="00CB1FB9"/>
    <w:rsid w:val="00CB4628"/>
    <w:rsid w:val="00CB5BBD"/>
    <w:rsid w:val="00CB799E"/>
    <w:rsid w:val="00CC2440"/>
    <w:rsid w:val="00CC2FE0"/>
    <w:rsid w:val="00CC410A"/>
    <w:rsid w:val="00CC50BA"/>
    <w:rsid w:val="00CC77D9"/>
    <w:rsid w:val="00CD044F"/>
    <w:rsid w:val="00CD0AD1"/>
    <w:rsid w:val="00CD16BF"/>
    <w:rsid w:val="00CD251E"/>
    <w:rsid w:val="00CD284E"/>
    <w:rsid w:val="00CD2F1F"/>
    <w:rsid w:val="00CD3006"/>
    <w:rsid w:val="00CD35BB"/>
    <w:rsid w:val="00CD4C5E"/>
    <w:rsid w:val="00CE10E0"/>
    <w:rsid w:val="00CE161B"/>
    <w:rsid w:val="00CE17D2"/>
    <w:rsid w:val="00CE276B"/>
    <w:rsid w:val="00CE4965"/>
    <w:rsid w:val="00CE529C"/>
    <w:rsid w:val="00CE5DEB"/>
    <w:rsid w:val="00CE70F6"/>
    <w:rsid w:val="00CE7E0A"/>
    <w:rsid w:val="00CE7EE9"/>
    <w:rsid w:val="00CE7F60"/>
    <w:rsid w:val="00CF1C86"/>
    <w:rsid w:val="00CF4FAF"/>
    <w:rsid w:val="00CF66D8"/>
    <w:rsid w:val="00D004B5"/>
    <w:rsid w:val="00D00AFC"/>
    <w:rsid w:val="00D00DF2"/>
    <w:rsid w:val="00D027B2"/>
    <w:rsid w:val="00D03D81"/>
    <w:rsid w:val="00D04074"/>
    <w:rsid w:val="00D04729"/>
    <w:rsid w:val="00D04CA0"/>
    <w:rsid w:val="00D068A1"/>
    <w:rsid w:val="00D06CC6"/>
    <w:rsid w:val="00D07CFD"/>
    <w:rsid w:val="00D11736"/>
    <w:rsid w:val="00D133A2"/>
    <w:rsid w:val="00D133C6"/>
    <w:rsid w:val="00D13CEE"/>
    <w:rsid w:val="00D17C23"/>
    <w:rsid w:val="00D17E46"/>
    <w:rsid w:val="00D218C5"/>
    <w:rsid w:val="00D21AE1"/>
    <w:rsid w:val="00D22981"/>
    <w:rsid w:val="00D23AF5"/>
    <w:rsid w:val="00D23DBA"/>
    <w:rsid w:val="00D24D4B"/>
    <w:rsid w:val="00D25C96"/>
    <w:rsid w:val="00D25E4F"/>
    <w:rsid w:val="00D270C8"/>
    <w:rsid w:val="00D30110"/>
    <w:rsid w:val="00D322F9"/>
    <w:rsid w:val="00D33745"/>
    <w:rsid w:val="00D34537"/>
    <w:rsid w:val="00D34C4F"/>
    <w:rsid w:val="00D353EF"/>
    <w:rsid w:val="00D36B45"/>
    <w:rsid w:val="00D377DD"/>
    <w:rsid w:val="00D41B93"/>
    <w:rsid w:val="00D42550"/>
    <w:rsid w:val="00D42A9D"/>
    <w:rsid w:val="00D44433"/>
    <w:rsid w:val="00D464B2"/>
    <w:rsid w:val="00D4749A"/>
    <w:rsid w:val="00D47639"/>
    <w:rsid w:val="00D47B6F"/>
    <w:rsid w:val="00D47F62"/>
    <w:rsid w:val="00D51D5A"/>
    <w:rsid w:val="00D51DA4"/>
    <w:rsid w:val="00D53E58"/>
    <w:rsid w:val="00D5557C"/>
    <w:rsid w:val="00D566DE"/>
    <w:rsid w:val="00D56A5E"/>
    <w:rsid w:val="00D57CCC"/>
    <w:rsid w:val="00D622B3"/>
    <w:rsid w:val="00D639E1"/>
    <w:rsid w:val="00D66090"/>
    <w:rsid w:val="00D6724C"/>
    <w:rsid w:val="00D6783F"/>
    <w:rsid w:val="00D679CC"/>
    <w:rsid w:val="00D67BBD"/>
    <w:rsid w:val="00D70C2D"/>
    <w:rsid w:val="00D70F35"/>
    <w:rsid w:val="00D71C32"/>
    <w:rsid w:val="00D71F49"/>
    <w:rsid w:val="00D728FA"/>
    <w:rsid w:val="00D72F46"/>
    <w:rsid w:val="00D730EF"/>
    <w:rsid w:val="00D734CB"/>
    <w:rsid w:val="00D749D8"/>
    <w:rsid w:val="00D75EF4"/>
    <w:rsid w:val="00D76467"/>
    <w:rsid w:val="00D7696A"/>
    <w:rsid w:val="00D771BE"/>
    <w:rsid w:val="00D77AEB"/>
    <w:rsid w:val="00D80854"/>
    <w:rsid w:val="00D8241A"/>
    <w:rsid w:val="00D856C1"/>
    <w:rsid w:val="00D87187"/>
    <w:rsid w:val="00D87DAC"/>
    <w:rsid w:val="00D90BCE"/>
    <w:rsid w:val="00D918D2"/>
    <w:rsid w:val="00D91E6C"/>
    <w:rsid w:val="00D92750"/>
    <w:rsid w:val="00D95336"/>
    <w:rsid w:val="00D95599"/>
    <w:rsid w:val="00D95E6B"/>
    <w:rsid w:val="00D967AF"/>
    <w:rsid w:val="00D9707A"/>
    <w:rsid w:val="00D9748C"/>
    <w:rsid w:val="00D97AFA"/>
    <w:rsid w:val="00D97FD9"/>
    <w:rsid w:val="00DA286D"/>
    <w:rsid w:val="00DA2873"/>
    <w:rsid w:val="00DA57CB"/>
    <w:rsid w:val="00DA75E8"/>
    <w:rsid w:val="00DA7BAF"/>
    <w:rsid w:val="00DB02F6"/>
    <w:rsid w:val="00DB1350"/>
    <w:rsid w:val="00DB1CB3"/>
    <w:rsid w:val="00DB26C1"/>
    <w:rsid w:val="00DB62AD"/>
    <w:rsid w:val="00DB75E4"/>
    <w:rsid w:val="00DB77F2"/>
    <w:rsid w:val="00DC0A06"/>
    <w:rsid w:val="00DC0D76"/>
    <w:rsid w:val="00DC24F9"/>
    <w:rsid w:val="00DC33A8"/>
    <w:rsid w:val="00DC36C2"/>
    <w:rsid w:val="00DC38CE"/>
    <w:rsid w:val="00DC4297"/>
    <w:rsid w:val="00DC4F9C"/>
    <w:rsid w:val="00DC502B"/>
    <w:rsid w:val="00DC5394"/>
    <w:rsid w:val="00DC556C"/>
    <w:rsid w:val="00DD106C"/>
    <w:rsid w:val="00DD1DB2"/>
    <w:rsid w:val="00DD6228"/>
    <w:rsid w:val="00DD7E12"/>
    <w:rsid w:val="00DE1001"/>
    <w:rsid w:val="00DE1769"/>
    <w:rsid w:val="00DE1E25"/>
    <w:rsid w:val="00DE41EF"/>
    <w:rsid w:val="00DE479C"/>
    <w:rsid w:val="00DF113B"/>
    <w:rsid w:val="00DF1E9E"/>
    <w:rsid w:val="00DF2A17"/>
    <w:rsid w:val="00DF3C9A"/>
    <w:rsid w:val="00DF6A03"/>
    <w:rsid w:val="00DF6CB1"/>
    <w:rsid w:val="00E0077A"/>
    <w:rsid w:val="00E03641"/>
    <w:rsid w:val="00E0478E"/>
    <w:rsid w:val="00E06649"/>
    <w:rsid w:val="00E066B4"/>
    <w:rsid w:val="00E07034"/>
    <w:rsid w:val="00E105A7"/>
    <w:rsid w:val="00E117B5"/>
    <w:rsid w:val="00E13446"/>
    <w:rsid w:val="00E1375C"/>
    <w:rsid w:val="00E141AB"/>
    <w:rsid w:val="00E142CD"/>
    <w:rsid w:val="00E147E5"/>
    <w:rsid w:val="00E15C0B"/>
    <w:rsid w:val="00E15C62"/>
    <w:rsid w:val="00E160AE"/>
    <w:rsid w:val="00E20B8E"/>
    <w:rsid w:val="00E21E98"/>
    <w:rsid w:val="00E22AAC"/>
    <w:rsid w:val="00E250BB"/>
    <w:rsid w:val="00E2551F"/>
    <w:rsid w:val="00E358EF"/>
    <w:rsid w:val="00E35FA2"/>
    <w:rsid w:val="00E37961"/>
    <w:rsid w:val="00E41FEE"/>
    <w:rsid w:val="00E42157"/>
    <w:rsid w:val="00E42C0D"/>
    <w:rsid w:val="00E456E0"/>
    <w:rsid w:val="00E472C7"/>
    <w:rsid w:val="00E53AD2"/>
    <w:rsid w:val="00E547F7"/>
    <w:rsid w:val="00E558F5"/>
    <w:rsid w:val="00E56A8A"/>
    <w:rsid w:val="00E56A96"/>
    <w:rsid w:val="00E5740C"/>
    <w:rsid w:val="00E574D2"/>
    <w:rsid w:val="00E57DEA"/>
    <w:rsid w:val="00E600D7"/>
    <w:rsid w:val="00E61231"/>
    <w:rsid w:val="00E64F79"/>
    <w:rsid w:val="00E6756B"/>
    <w:rsid w:val="00E758C1"/>
    <w:rsid w:val="00E75EF0"/>
    <w:rsid w:val="00E766A1"/>
    <w:rsid w:val="00E76C2F"/>
    <w:rsid w:val="00E77A75"/>
    <w:rsid w:val="00E77DC5"/>
    <w:rsid w:val="00E81B64"/>
    <w:rsid w:val="00E82829"/>
    <w:rsid w:val="00E838B7"/>
    <w:rsid w:val="00E8469C"/>
    <w:rsid w:val="00E86345"/>
    <w:rsid w:val="00E86AAB"/>
    <w:rsid w:val="00E86EA4"/>
    <w:rsid w:val="00E87CE5"/>
    <w:rsid w:val="00E910C0"/>
    <w:rsid w:val="00E9151E"/>
    <w:rsid w:val="00E95263"/>
    <w:rsid w:val="00E9566C"/>
    <w:rsid w:val="00E97A21"/>
    <w:rsid w:val="00EA0906"/>
    <w:rsid w:val="00EA1A10"/>
    <w:rsid w:val="00EA1AFF"/>
    <w:rsid w:val="00EA1B32"/>
    <w:rsid w:val="00EA5046"/>
    <w:rsid w:val="00EA5217"/>
    <w:rsid w:val="00EA5330"/>
    <w:rsid w:val="00EB0F1F"/>
    <w:rsid w:val="00EB112D"/>
    <w:rsid w:val="00EB2647"/>
    <w:rsid w:val="00EB3089"/>
    <w:rsid w:val="00EB6ABA"/>
    <w:rsid w:val="00EB6FEA"/>
    <w:rsid w:val="00EC0FCF"/>
    <w:rsid w:val="00EC1F26"/>
    <w:rsid w:val="00EC2C53"/>
    <w:rsid w:val="00EC45E8"/>
    <w:rsid w:val="00EC56FA"/>
    <w:rsid w:val="00ED010A"/>
    <w:rsid w:val="00ED193C"/>
    <w:rsid w:val="00ED5171"/>
    <w:rsid w:val="00ED6C9A"/>
    <w:rsid w:val="00ED7D5F"/>
    <w:rsid w:val="00EE0292"/>
    <w:rsid w:val="00EE1C5D"/>
    <w:rsid w:val="00EE35F7"/>
    <w:rsid w:val="00EE57D8"/>
    <w:rsid w:val="00EE6697"/>
    <w:rsid w:val="00EE7263"/>
    <w:rsid w:val="00EE77AC"/>
    <w:rsid w:val="00EF0D47"/>
    <w:rsid w:val="00EF0F99"/>
    <w:rsid w:val="00EF1839"/>
    <w:rsid w:val="00EF25C0"/>
    <w:rsid w:val="00EF2F90"/>
    <w:rsid w:val="00EF4ACF"/>
    <w:rsid w:val="00EF53B8"/>
    <w:rsid w:val="00F0100D"/>
    <w:rsid w:val="00F01154"/>
    <w:rsid w:val="00F051E4"/>
    <w:rsid w:val="00F06686"/>
    <w:rsid w:val="00F0729F"/>
    <w:rsid w:val="00F113BC"/>
    <w:rsid w:val="00F122B4"/>
    <w:rsid w:val="00F1272D"/>
    <w:rsid w:val="00F12D43"/>
    <w:rsid w:val="00F13437"/>
    <w:rsid w:val="00F14354"/>
    <w:rsid w:val="00F14C6D"/>
    <w:rsid w:val="00F2036D"/>
    <w:rsid w:val="00F20EDA"/>
    <w:rsid w:val="00F22CAE"/>
    <w:rsid w:val="00F24710"/>
    <w:rsid w:val="00F26F86"/>
    <w:rsid w:val="00F270C5"/>
    <w:rsid w:val="00F2728F"/>
    <w:rsid w:val="00F308B2"/>
    <w:rsid w:val="00F30964"/>
    <w:rsid w:val="00F310F2"/>
    <w:rsid w:val="00F32078"/>
    <w:rsid w:val="00F330BB"/>
    <w:rsid w:val="00F41981"/>
    <w:rsid w:val="00F42D30"/>
    <w:rsid w:val="00F43C6D"/>
    <w:rsid w:val="00F4580A"/>
    <w:rsid w:val="00F51A8A"/>
    <w:rsid w:val="00F5353E"/>
    <w:rsid w:val="00F536DB"/>
    <w:rsid w:val="00F53922"/>
    <w:rsid w:val="00F5397B"/>
    <w:rsid w:val="00F55907"/>
    <w:rsid w:val="00F563C4"/>
    <w:rsid w:val="00F566A4"/>
    <w:rsid w:val="00F611C3"/>
    <w:rsid w:val="00F62F37"/>
    <w:rsid w:val="00F634B8"/>
    <w:rsid w:val="00F6519A"/>
    <w:rsid w:val="00F6572D"/>
    <w:rsid w:val="00F658EC"/>
    <w:rsid w:val="00F662A3"/>
    <w:rsid w:val="00F67A88"/>
    <w:rsid w:val="00F67C8E"/>
    <w:rsid w:val="00F70705"/>
    <w:rsid w:val="00F70F83"/>
    <w:rsid w:val="00F7227A"/>
    <w:rsid w:val="00F73FFE"/>
    <w:rsid w:val="00F75E6D"/>
    <w:rsid w:val="00F806FE"/>
    <w:rsid w:val="00F81B27"/>
    <w:rsid w:val="00F8237C"/>
    <w:rsid w:val="00F8245C"/>
    <w:rsid w:val="00F83785"/>
    <w:rsid w:val="00F83A13"/>
    <w:rsid w:val="00F84259"/>
    <w:rsid w:val="00F8583B"/>
    <w:rsid w:val="00F86043"/>
    <w:rsid w:val="00F86441"/>
    <w:rsid w:val="00F8705E"/>
    <w:rsid w:val="00F87B30"/>
    <w:rsid w:val="00F90268"/>
    <w:rsid w:val="00F91038"/>
    <w:rsid w:val="00F9175A"/>
    <w:rsid w:val="00F94C74"/>
    <w:rsid w:val="00F94C8A"/>
    <w:rsid w:val="00F96A8D"/>
    <w:rsid w:val="00F975E3"/>
    <w:rsid w:val="00F976EC"/>
    <w:rsid w:val="00F97BE8"/>
    <w:rsid w:val="00FA1CF4"/>
    <w:rsid w:val="00FA24D4"/>
    <w:rsid w:val="00FA74B2"/>
    <w:rsid w:val="00FA7CCB"/>
    <w:rsid w:val="00FB02B0"/>
    <w:rsid w:val="00FB06B4"/>
    <w:rsid w:val="00FB22A2"/>
    <w:rsid w:val="00FB2474"/>
    <w:rsid w:val="00FB3AEE"/>
    <w:rsid w:val="00FB4246"/>
    <w:rsid w:val="00FB5B97"/>
    <w:rsid w:val="00FC03C3"/>
    <w:rsid w:val="00FC0B1A"/>
    <w:rsid w:val="00FC22A3"/>
    <w:rsid w:val="00FC469B"/>
    <w:rsid w:val="00FC5AA7"/>
    <w:rsid w:val="00FC5C19"/>
    <w:rsid w:val="00FC62FC"/>
    <w:rsid w:val="00FD14CB"/>
    <w:rsid w:val="00FD1701"/>
    <w:rsid w:val="00FD24E5"/>
    <w:rsid w:val="00FD2BA5"/>
    <w:rsid w:val="00FD38AA"/>
    <w:rsid w:val="00FD3C1F"/>
    <w:rsid w:val="00FD6D97"/>
    <w:rsid w:val="00FE001F"/>
    <w:rsid w:val="00FE0A87"/>
    <w:rsid w:val="00FE0AC9"/>
    <w:rsid w:val="00FE3ECC"/>
    <w:rsid w:val="00FE41B1"/>
    <w:rsid w:val="00FE4EA0"/>
    <w:rsid w:val="00FE558F"/>
    <w:rsid w:val="00FE5DA8"/>
    <w:rsid w:val="00FE5FC7"/>
    <w:rsid w:val="00FE7787"/>
    <w:rsid w:val="00FF1EA0"/>
    <w:rsid w:val="00FF404F"/>
    <w:rsid w:val="00FF4A90"/>
    <w:rsid w:val="00FF5565"/>
    <w:rsid w:val="00FF5748"/>
    <w:rsid w:val="02FF23D7"/>
    <w:rsid w:val="0473295E"/>
    <w:rsid w:val="04986DFD"/>
    <w:rsid w:val="068E518C"/>
    <w:rsid w:val="06BE37E8"/>
    <w:rsid w:val="06EF71BB"/>
    <w:rsid w:val="073F3271"/>
    <w:rsid w:val="0867295F"/>
    <w:rsid w:val="0ADA64EF"/>
    <w:rsid w:val="0F364859"/>
    <w:rsid w:val="0FFE245E"/>
    <w:rsid w:val="12E41248"/>
    <w:rsid w:val="158B17EA"/>
    <w:rsid w:val="158C0A8D"/>
    <w:rsid w:val="16C52C78"/>
    <w:rsid w:val="1807597F"/>
    <w:rsid w:val="18DB1F42"/>
    <w:rsid w:val="19C071D8"/>
    <w:rsid w:val="2053311E"/>
    <w:rsid w:val="20BF36A8"/>
    <w:rsid w:val="21BC7E8C"/>
    <w:rsid w:val="2203702B"/>
    <w:rsid w:val="22790852"/>
    <w:rsid w:val="25EB3C37"/>
    <w:rsid w:val="2D0A43BB"/>
    <w:rsid w:val="2FDD5020"/>
    <w:rsid w:val="388A772D"/>
    <w:rsid w:val="3915707E"/>
    <w:rsid w:val="396750EC"/>
    <w:rsid w:val="39737E2C"/>
    <w:rsid w:val="3AB14D99"/>
    <w:rsid w:val="3BF255E8"/>
    <w:rsid w:val="3C2036D5"/>
    <w:rsid w:val="3CC0057A"/>
    <w:rsid w:val="3CDB285C"/>
    <w:rsid w:val="40A70CE6"/>
    <w:rsid w:val="44E64F90"/>
    <w:rsid w:val="45460775"/>
    <w:rsid w:val="48AB4BEA"/>
    <w:rsid w:val="48B10978"/>
    <w:rsid w:val="4A0D2402"/>
    <w:rsid w:val="4D3669F2"/>
    <w:rsid w:val="504363EF"/>
    <w:rsid w:val="515E432B"/>
    <w:rsid w:val="519B5BB9"/>
    <w:rsid w:val="525B1FD0"/>
    <w:rsid w:val="55821135"/>
    <w:rsid w:val="56501CA7"/>
    <w:rsid w:val="5665551B"/>
    <w:rsid w:val="576D6C39"/>
    <w:rsid w:val="57727687"/>
    <w:rsid w:val="588C018E"/>
    <w:rsid w:val="59E67891"/>
    <w:rsid w:val="5C1F7FE7"/>
    <w:rsid w:val="5D7F6BA2"/>
    <w:rsid w:val="5E3A4C9A"/>
    <w:rsid w:val="5E3B3CB8"/>
    <w:rsid w:val="5F853FB1"/>
    <w:rsid w:val="606E0C9E"/>
    <w:rsid w:val="61643B81"/>
    <w:rsid w:val="63E12151"/>
    <w:rsid w:val="6560194A"/>
    <w:rsid w:val="66E70B21"/>
    <w:rsid w:val="69CB5DFC"/>
    <w:rsid w:val="6A326B16"/>
    <w:rsid w:val="6AC13071"/>
    <w:rsid w:val="6AC208E0"/>
    <w:rsid w:val="6AD47284"/>
    <w:rsid w:val="6BFB1A7A"/>
    <w:rsid w:val="6D4E5448"/>
    <w:rsid w:val="6DBF8A51"/>
    <w:rsid w:val="70117CE3"/>
    <w:rsid w:val="726D08F1"/>
    <w:rsid w:val="74AB1322"/>
    <w:rsid w:val="768D1774"/>
    <w:rsid w:val="780D70BC"/>
    <w:rsid w:val="7ADD18DC"/>
    <w:rsid w:val="7D840A0C"/>
    <w:rsid w:val="7E264278"/>
    <w:rsid w:val="7F9B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08E1A-E626-4F42-A0D3-2F227A61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qFormat="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semiHidden="1"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20"/>
    <w:next w:val="a"/>
    <w:qFormat/>
    <w:pPr>
      <w:spacing w:before="120" w:after="120"/>
      <w:ind w:firstLineChars="0" w:firstLine="0"/>
      <w:jc w:val="center"/>
      <w:outlineLvl w:val="0"/>
    </w:pPr>
    <w:rPr>
      <w:b/>
      <w:caps/>
      <w:sz w:val="44"/>
    </w:rPr>
  </w:style>
  <w:style w:type="paragraph" w:styleId="20">
    <w:name w:val="heading 2"/>
    <w:basedOn w:val="3"/>
    <w:next w:val="a"/>
    <w:link w:val="2Char"/>
    <w:qFormat/>
    <w:pPr>
      <w:keepNext w:val="0"/>
      <w:keepLines w:val="0"/>
      <w:spacing w:before="0" w:after="0" w:line="240" w:lineRule="auto"/>
      <w:ind w:firstLineChars="200" w:firstLine="600"/>
      <w:jc w:val="left"/>
      <w:outlineLvl w:val="1"/>
    </w:pPr>
    <w:rPr>
      <w:rFonts w:ascii="黑体" w:eastAsia="黑体" w:hAnsi="黑体"/>
      <w:b w:val="0"/>
      <w:bCs w:val="0"/>
      <w:smallCaps/>
      <w:sz w:val="30"/>
      <w:szCs w:val="30"/>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a3">
    <w:name w:val="table of authorities"/>
    <w:basedOn w:val="a"/>
    <w:next w:val="a"/>
    <w:semiHidden/>
    <w:qFormat/>
    <w:pPr>
      <w:ind w:leftChars="200" w:left="420"/>
    </w:pPr>
  </w:style>
  <w:style w:type="paragraph" w:styleId="8">
    <w:name w:val="index 8"/>
    <w:basedOn w:val="a"/>
    <w:next w:val="a"/>
    <w:semiHidden/>
    <w:qFormat/>
    <w:pPr>
      <w:ind w:leftChars="1400" w:left="1400"/>
    </w:pPr>
  </w:style>
  <w:style w:type="paragraph" w:styleId="5">
    <w:name w:val="index 5"/>
    <w:basedOn w:val="a"/>
    <w:next w:val="a"/>
    <w:semiHidden/>
    <w:qFormat/>
    <w:pPr>
      <w:ind w:leftChars="800" w:left="800"/>
    </w:pPr>
  </w:style>
  <w:style w:type="paragraph" w:styleId="a4">
    <w:name w:val="Document Map"/>
    <w:basedOn w:val="a"/>
    <w:link w:val="Char"/>
    <w:uiPriority w:val="99"/>
    <w:unhideWhenUsed/>
    <w:qFormat/>
    <w:rPr>
      <w:rFonts w:ascii="宋体"/>
      <w:sz w:val="18"/>
      <w:szCs w:val="18"/>
    </w:rPr>
  </w:style>
  <w:style w:type="paragraph" w:styleId="a5">
    <w:name w:val="toa heading"/>
    <w:basedOn w:val="a"/>
    <w:next w:val="a"/>
    <w:semiHidden/>
    <w:qFormat/>
    <w:pPr>
      <w:spacing w:before="120"/>
    </w:pPr>
    <w:rPr>
      <w:rFonts w:ascii="Arial" w:hAnsi="Arial"/>
      <w:b/>
      <w:bCs/>
    </w:rPr>
  </w:style>
  <w:style w:type="paragraph" w:styleId="a6">
    <w:name w:val="annotation text"/>
    <w:basedOn w:val="a"/>
    <w:link w:val="Char0"/>
    <w:semiHidden/>
    <w:qFormat/>
    <w:pPr>
      <w:jc w:val="left"/>
    </w:pPr>
  </w:style>
  <w:style w:type="paragraph" w:styleId="6">
    <w:name w:val="index 6"/>
    <w:basedOn w:val="a"/>
    <w:next w:val="a"/>
    <w:semiHidden/>
    <w:qFormat/>
    <w:pPr>
      <w:ind w:leftChars="1000" w:left="1000"/>
    </w:p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21">
    <w:name w:val="List 2"/>
    <w:basedOn w:val="a"/>
    <w:qFormat/>
    <w:pPr>
      <w:ind w:leftChars="200" w:left="100" w:hangingChars="200" w:hanging="200"/>
    </w:pPr>
  </w:style>
  <w:style w:type="paragraph" w:styleId="a9">
    <w:name w:val="List Continue"/>
    <w:basedOn w:val="a"/>
    <w:qFormat/>
    <w:pPr>
      <w:spacing w:after="120"/>
      <w:ind w:leftChars="200" w:left="420"/>
    </w:pPr>
  </w:style>
  <w:style w:type="paragraph" w:styleId="2">
    <w:name w:val="List Bullet 2"/>
    <w:basedOn w:val="a"/>
    <w:qFormat/>
    <w:pPr>
      <w:numPr>
        <w:numId w:val="1"/>
      </w:numPr>
    </w:pPr>
  </w:style>
  <w:style w:type="paragraph" w:styleId="4">
    <w:name w:val="index 4"/>
    <w:basedOn w:val="a"/>
    <w:next w:val="a"/>
    <w:semiHidden/>
    <w:qFormat/>
    <w:pPr>
      <w:ind w:leftChars="600" w:left="600"/>
    </w:pPr>
  </w:style>
  <w:style w:type="paragraph" w:styleId="aa">
    <w:name w:val="Plain Text"/>
    <w:basedOn w:val="a"/>
    <w:qFormat/>
    <w:rPr>
      <w:rFonts w:ascii="宋体" w:hAnsi="Courier New" w:cs="仿宋_GB2312"/>
      <w:szCs w:val="21"/>
    </w:rPr>
  </w:style>
  <w:style w:type="paragraph" w:styleId="31">
    <w:name w:val="index 3"/>
    <w:basedOn w:val="a"/>
    <w:next w:val="a"/>
    <w:semiHidden/>
    <w:qFormat/>
    <w:pPr>
      <w:ind w:leftChars="400" w:left="400"/>
    </w:pPr>
  </w:style>
  <w:style w:type="paragraph" w:styleId="22">
    <w:name w:val="Body Text Indent 2"/>
    <w:basedOn w:val="a"/>
    <w:qFormat/>
    <w:pPr>
      <w:ind w:firstLineChars="239" w:firstLine="720"/>
    </w:pPr>
    <w:rPr>
      <w:b/>
      <w:bCs/>
      <w:sz w:val="30"/>
    </w:rPr>
  </w:style>
  <w:style w:type="paragraph" w:styleId="ab">
    <w:name w:val="Balloon Text"/>
    <w:basedOn w:val="a"/>
    <w:semiHidden/>
    <w:qFormat/>
    <w:rPr>
      <w:sz w:val="18"/>
      <w:szCs w:val="18"/>
    </w:rPr>
  </w:style>
  <w:style w:type="paragraph" w:styleId="ac">
    <w:name w:val="footer"/>
    <w:basedOn w:val="a"/>
    <w:link w:val="Char1"/>
    <w:uiPriority w:val="99"/>
    <w:qFormat/>
    <w:pPr>
      <w:tabs>
        <w:tab w:val="center" w:pos="4153"/>
        <w:tab w:val="right" w:pos="8306"/>
      </w:tabs>
      <w:snapToGrid w:val="0"/>
      <w:jc w:val="left"/>
    </w:pPr>
    <w:rPr>
      <w:sz w:val="18"/>
      <w:szCs w:val="18"/>
    </w:rPr>
  </w:style>
  <w:style w:type="paragraph" w:styleId="ad">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semiHidden/>
    <w:qFormat/>
  </w:style>
  <w:style w:type="paragraph" w:styleId="10">
    <w:name w:val="index 1"/>
    <w:basedOn w:val="a"/>
    <w:next w:val="a"/>
    <w:semiHidden/>
    <w:qFormat/>
  </w:style>
  <w:style w:type="paragraph" w:styleId="af">
    <w:name w:val="Subtitle"/>
    <w:basedOn w:val="a"/>
    <w:next w:val="a"/>
    <w:link w:val="Char3"/>
    <w:uiPriority w:val="11"/>
    <w:qFormat/>
    <w:pPr>
      <w:spacing w:before="240" w:after="60" w:line="312" w:lineRule="auto"/>
      <w:jc w:val="center"/>
      <w:outlineLvl w:val="1"/>
    </w:pPr>
    <w:rPr>
      <w:rFonts w:ascii="等线 Light" w:hAnsi="等线 Light"/>
      <w:b/>
      <w:bCs/>
      <w:kern w:val="28"/>
      <w:sz w:val="32"/>
      <w:szCs w:val="32"/>
    </w:rPr>
  </w:style>
  <w:style w:type="paragraph" w:styleId="af0">
    <w:name w:val="List"/>
    <w:basedOn w:val="a"/>
    <w:qFormat/>
    <w:pPr>
      <w:ind w:left="200" w:hangingChars="200" w:hanging="200"/>
    </w:pPr>
  </w:style>
  <w:style w:type="paragraph" w:styleId="af1">
    <w:name w:val="footnote text"/>
    <w:basedOn w:val="a"/>
    <w:semiHidden/>
    <w:qFormat/>
    <w:pPr>
      <w:snapToGrid w:val="0"/>
      <w:jc w:val="left"/>
    </w:pPr>
    <w:rPr>
      <w:sz w:val="18"/>
      <w:szCs w:val="18"/>
    </w:rPr>
  </w:style>
  <w:style w:type="paragraph" w:styleId="32">
    <w:name w:val="Body Text Indent 3"/>
    <w:basedOn w:val="a"/>
    <w:qFormat/>
    <w:pPr>
      <w:ind w:firstLineChars="179" w:firstLine="537"/>
    </w:pPr>
    <w:rPr>
      <w:sz w:val="30"/>
    </w:rPr>
  </w:style>
  <w:style w:type="paragraph" w:styleId="7">
    <w:name w:val="index 7"/>
    <w:basedOn w:val="a"/>
    <w:next w:val="a"/>
    <w:semiHidden/>
    <w:qFormat/>
    <w:pPr>
      <w:ind w:leftChars="1200" w:left="1200"/>
    </w:pPr>
  </w:style>
  <w:style w:type="paragraph" w:styleId="9">
    <w:name w:val="index 9"/>
    <w:basedOn w:val="a"/>
    <w:next w:val="a"/>
    <w:semiHidden/>
    <w:qFormat/>
    <w:pPr>
      <w:ind w:leftChars="1600" w:left="1600"/>
    </w:pPr>
  </w:style>
  <w:style w:type="paragraph" w:styleId="23">
    <w:name w:val="Body Text 2"/>
    <w:basedOn w:val="a"/>
    <w:qFormat/>
    <w:rPr>
      <w:b/>
      <w:bCs/>
      <w:sz w:val="30"/>
    </w:r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25">
    <w:name w:val="index 2"/>
    <w:basedOn w:val="a"/>
    <w:next w:val="a"/>
    <w:semiHidden/>
    <w:qFormat/>
    <w:pPr>
      <w:ind w:leftChars="200" w:left="200"/>
    </w:pPr>
  </w:style>
  <w:style w:type="paragraph" w:styleId="af2">
    <w:name w:val="Title"/>
    <w:basedOn w:val="a7"/>
    <w:next w:val="a"/>
    <w:link w:val="Char4"/>
    <w:qFormat/>
    <w:pPr>
      <w:jc w:val="center"/>
    </w:pPr>
    <w:rPr>
      <w:rFonts w:ascii="仿宋_GB2312" w:eastAsia="仿宋_GB2312" w:hAnsi="仿宋"/>
    </w:rPr>
  </w:style>
  <w:style w:type="paragraph" w:styleId="af3">
    <w:name w:val="annotation subject"/>
    <w:basedOn w:val="a6"/>
    <w:next w:val="a6"/>
    <w:semiHidden/>
    <w:qFormat/>
    <w:rPr>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annotation reference"/>
    <w:semiHidden/>
    <w:qFormat/>
    <w:rPr>
      <w:sz w:val="21"/>
      <w:szCs w:val="21"/>
    </w:rPr>
  </w:style>
  <w:style w:type="character" w:styleId="af7">
    <w:name w:val="footnote reference"/>
    <w:semiHidden/>
    <w:qFormat/>
    <w:rPr>
      <w:rFonts w:cs="Times New Roman"/>
      <w:vertAlign w:val="superscript"/>
    </w:rPr>
  </w:style>
  <w:style w:type="character" w:customStyle="1" w:styleId="PlainTextChar">
    <w:name w:val="Plain Text Char"/>
    <w:semiHidden/>
    <w:qFormat/>
    <w:locked/>
    <w:rPr>
      <w:rFonts w:ascii="宋体" w:hAnsi="Courier New" w:cs="Courier New"/>
      <w:kern w:val="2"/>
      <w:sz w:val="21"/>
      <w:szCs w:val="21"/>
    </w:rPr>
  </w:style>
  <w:style w:type="character" w:customStyle="1" w:styleId="CommentTextChar">
    <w:name w:val="Comment Text Char"/>
    <w:semiHidden/>
    <w:qFormat/>
    <w:locked/>
    <w:rPr>
      <w:rFonts w:cs="Times New Roman"/>
      <w:kern w:val="2"/>
      <w:sz w:val="24"/>
      <w:szCs w:val="24"/>
    </w:rPr>
  </w:style>
  <w:style w:type="character" w:customStyle="1" w:styleId="FooterChar">
    <w:name w:val="Footer Char"/>
    <w:semiHidden/>
    <w:qFormat/>
    <w:locked/>
    <w:rPr>
      <w:rFonts w:cs="Times New Roman"/>
      <w:kern w:val="2"/>
      <w:sz w:val="18"/>
      <w:szCs w:val="18"/>
    </w:rPr>
  </w:style>
  <w:style w:type="character" w:customStyle="1" w:styleId="Heading2Char">
    <w:name w:val="Heading 2 Char"/>
    <w:semiHidden/>
    <w:qFormat/>
    <w:locked/>
    <w:rPr>
      <w:rFonts w:ascii="Cambria" w:eastAsia="宋体" w:hAnsi="Cambria" w:cs="Times New Roman"/>
      <w:b/>
      <w:bCs/>
      <w:kern w:val="2"/>
      <w:sz w:val="32"/>
      <w:szCs w:val="32"/>
    </w:rPr>
  </w:style>
  <w:style w:type="character" w:customStyle="1" w:styleId="BalloonTextChar">
    <w:name w:val="Balloon Text Char"/>
    <w:semiHidden/>
    <w:qFormat/>
    <w:locked/>
    <w:rPr>
      <w:rFonts w:cs="Times New Roman"/>
      <w:kern w:val="2"/>
      <w:sz w:val="2"/>
    </w:rPr>
  </w:style>
  <w:style w:type="character" w:customStyle="1" w:styleId="Char1">
    <w:name w:val="页脚 Char"/>
    <w:link w:val="ac"/>
    <w:uiPriority w:val="99"/>
    <w:qFormat/>
    <w:rPr>
      <w:kern w:val="2"/>
      <w:sz w:val="18"/>
      <w:szCs w:val="18"/>
    </w:rPr>
  </w:style>
  <w:style w:type="character" w:customStyle="1" w:styleId="msoins0">
    <w:name w:val="msoins"/>
    <w:basedOn w:val="a0"/>
    <w:qFormat/>
  </w:style>
  <w:style w:type="character" w:customStyle="1" w:styleId="Char">
    <w:name w:val="文档结构图 Char"/>
    <w:link w:val="a4"/>
    <w:uiPriority w:val="99"/>
    <w:semiHidden/>
    <w:qFormat/>
    <w:rPr>
      <w:rFonts w:ascii="宋体"/>
      <w:kern w:val="2"/>
      <w:sz w:val="18"/>
      <w:szCs w:val="18"/>
    </w:rPr>
  </w:style>
  <w:style w:type="character" w:customStyle="1" w:styleId="CommentSubjectChar">
    <w:name w:val="Comment Subject Char"/>
    <w:semiHidden/>
    <w:qFormat/>
    <w:locked/>
    <w:rPr>
      <w:rFonts w:cs="Times New Roman"/>
      <w:b/>
      <w:bCs/>
      <w:kern w:val="2"/>
      <w:sz w:val="24"/>
      <w:szCs w:val="24"/>
    </w:rPr>
  </w:style>
  <w:style w:type="character" w:customStyle="1" w:styleId="FootnoteTextChar">
    <w:name w:val="Footnote Text Char"/>
    <w:semiHidden/>
    <w:qFormat/>
    <w:locked/>
    <w:rPr>
      <w:rFonts w:cs="Times New Roman"/>
      <w:kern w:val="2"/>
      <w:sz w:val="18"/>
      <w:szCs w:val="18"/>
    </w:rPr>
  </w:style>
  <w:style w:type="character" w:customStyle="1" w:styleId="Char2">
    <w:name w:val="页眉 Char"/>
    <w:link w:val="ad"/>
    <w:qFormat/>
    <w:rPr>
      <w:kern w:val="2"/>
      <w:sz w:val="18"/>
      <w:szCs w:val="18"/>
    </w:rPr>
  </w:style>
  <w:style w:type="paragraph" w:customStyle="1" w:styleId="11">
    <w:name w:val="修订1"/>
    <w:uiPriority w:val="99"/>
    <w:semiHidden/>
    <w:qFormat/>
    <w:rPr>
      <w:kern w:val="2"/>
      <w:sz w:val="21"/>
      <w:szCs w:val="24"/>
    </w:rPr>
  </w:style>
  <w:style w:type="paragraph" w:customStyle="1" w:styleId="Question">
    <w:name w:val="Question"/>
    <w:basedOn w:val="a"/>
    <w:next w:val="a"/>
    <w:qFormat/>
    <w:pPr>
      <w:autoSpaceDE w:val="0"/>
      <w:autoSpaceDN w:val="0"/>
      <w:adjustRightInd w:val="0"/>
      <w:jc w:val="left"/>
    </w:pPr>
    <w:rPr>
      <w:kern w:val="0"/>
      <w:sz w:val="24"/>
    </w:rPr>
  </w:style>
  <w:style w:type="paragraph" w:customStyle="1" w:styleId="12">
    <w:name w:val="列出段落1"/>
    <w:basedOn w:val="a"/>
    <w:qFormat/>
    <w:pPr>
      <w:ind w:firstLineChars="200" w:firstLine="420"/>
    </w:pPr>
    <w:rPr>
      <w:rFonts w:ascii="Calibri" w:hAnsi="Calibri"/>
      <w:szCs w:val="22"/>
    </w:rPr>
  </w:style>
  <w:style w:type="paragraph" w:customStyle="1" w:styleId="entext">
    <w:name w:val="entext"/>
    <w:basedOn w:val="a"/>
    <w:qFormat/>
    <w:pPr>
      <w:widowControl/>
      <w:spacing w:before="100" w:beforeAutospacing="1" w:after="100" w:afterAutospacing="1"/>
      <w:jc w:val="left"/>
    </w:pPr>
    <w:rPr>
      <w:rFonts w:ascii="Arial Unicode MS" w:hAnsi="Arial Unicode MS"/>
      <w:kern w:val="0"/>
      <w:sz w:val="24"/>
    </w:rPr>
  </w:style>
  <w:style w:type="paragraph" w:customStyle="1" w:styleId="Paragraph">
    <w:name w:val="Paragraph"/>
    <w:basedOn w:val="a"/>
    <w:next w:val="a"/>
    <w:qFormat/>
    <w:pPr>
      <w:autoSpaceDE w:val="0"/>
      <w:autoSpaceDN w:val="0"/>
      <w:adjustRightInd w:val="0"/>
      <w:spacing w:before="100" w:after="100"/>
      <w:jc w:val="left"/>
    </w:pPr>
    <w:rPr>
      <w:kern w:val="0"/>
      <w:sz w:val="24"/>
    </w:rPr>
  </w:style>
  <w:style w:type="paragraph" w:customStyle="1" w:styleId="CM3">
    <w:name w:val="CM3"/>
    <w:basedOn w:val="Default"/>
    <w:next w:val="Default"/>
    <w:qFormat/>
    <w:rPr>
      <w:rFonts w:cs="Times New Roman"/>
      <w:color w:val="auto"/>
    </w:rPr>
  </w:style>
  <w:style w:type="paragraph" w:customStyle="1" w:styleId="Default">
    <w:name w:val="Default"/>
    <w:qFormat/>
    <w:pPr>
      <w:widowControl w:val="0"/>
      <w:autoSpaceDE w:val="0"/>
      <w:autoSpaceDN w:val="0"/>
      <w:adjustRightInd w:val="0"/>
    </w:pPr>
    <w:rPr>
      <w:rFonts w:ascii="Helvetica" w:hAnsi="Helvetica" w:cs="Helvetica"/>
      <w:color w:val="000000"/>
      <w:sz w:val="24"/>
      <w:szCs w:val="24"/>
    </w:rPr>
  </w:style>
  <w:style w:type="paragraph" w:customStyle="1" w:styleId="13">
    <w:name w:val="1表(排版)"/>
    <w:basedOn w:val="a"/>
    <w:qFormat/>
    <w:pPr>
      <w:jc w:val="center"/>
    </w:pPr>
    <w:rPr>
      <w:b/>
    </w:rPr>
  </w:style>
  <w:style w:type="paragraph" w:customStyle="1" w:styleId="120">
    <w:name w:val="列出段落12"/>
    <w:basedOn w:val="a"/>
    <w:uiPriority w:val="34"/>
    <w:qFormat/>
    <w:pPr>
      <w:ind w:firstLineChars="200" w:firstLine="420"/>
    </w:pPr>
  </w:style>
  <w:style w:type="paragraph" w:customStyle="1" w:styleId="CM43">
    <w:name w:val="CM43"/>
    <w:basedOn w:val="Default"/>
    <w:next w:val="Default"/>
    <w:qFormat/>
    <w:pPr>
      <w:spacing w:after="130"/>
    </w:pPr>
    <w:rPr>
      <w:rFonts w:cs="Times New Roman"/>
      <w:color w:val="auto"/>
    </w:rPr>
  </w:style>
  <w:style w:type="paragraph" w:customStyle="1" w:styleId="110">
    <w:name w:val="列出段落11"/>
    <w:basedOn w:val="a"/>
    <w:uiPriority w:val="34"/>
    <w:qFormat/>
    <w:pPr>
      <w:ind w:firstLineChars="200" w:firstLine="420"/>
    </w:pPr>
  </w:style>
  <w:style w:type="paragraph" w:customStyle="1" w:styleId="14">
    <w:name w:val="1表格设定(排版）"/>
    <w:basedOn w:val="a"/>
    <w:qFormat/>
    <w:pPr>
      <w:spacing w:line="300" w:lineRule="atLeast"/>
      <w:jc w:val="center"/>
    </w:pPr>
    <w:rPr>
      <w:sz w:val="18"/>
    </w:rPr>
  </w:style>
  <w:style w:type="character" w:customStyle="1" w:styleId="Char3">
    <w:name w:val="副标题 Char"/>
    <w:link w:val="af"/>
    <w:uiPriority w:val="11"/>
    <w:qFormat/>
    <w:rPr>
      <w:rFonts w:ascii="等线 Light" w:hAnsi="等线 Light" w:cs="Times New Roman"/>
      <w:b/>
      <w:bCs/>
      <w:kern w:val="28"/>
      <w:sz w:val="32"/>
      <w:szCs w:val="32"/>
    </w:rPr>
  </w:style>
  <w:style w:type="character" w:customStyle="1" w:styleId="15">
    <w:name w:val="占位符文本1"/>
    <w:uiPriority w:val="99"/>
    <w:unhideWhenUsed/>
    <w:qFormat/>
    <w:rPr>
      <w:color w:val="808080"/>
    </w:rPr>
  </w:style>
  <w:style w:type="paragraph" w:customStyle="1" w:styleId="26">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character" w:customStyle="1" w:styleId="Char4">
    <w:name w:val="标题 Char"/>
    <w:basedOn w:val="a0"/>
    <w:link w:val="af2"/>
    <w:qFormat/>
    <w:rPr>
      <w:rFonts w:ascii="仿宋_GB2312" w:eastAsia="仿宋_GB2312" w:hAnsi="仿宋"/>
      <w:kern w:val="2"/>
      <w:sz w:val="21"/>
      <w:szCs w:val="24"/>
    </w:rPr>
  </w:style>
  <w:style w:type="character" w:customStyle="1" w:styleId="2Char">
    <w:name w:val="标题 2 Char"/>
    <w:basedOn w:val="a0"/>
    <w:link w:val="20"/>
    <w:qFormat/>
    <w:rPr>
      <w:rFonts w:ascii="黑体" w:eastAsia="黑体" w:hAnsi="黑体"/>
      <w:smallCaps/>
      <w:kern w:val="2"/>
      <w:sz w:val="30"/>
      <w:szCs w:val="30"/>
    </w:rPr>
  </w:style>
  <w:style w:type="character" w:customStyle="1" w:styleId="3Char">
    <w:name w:val="标题 3 Char"/>
    <w:basedOn w:val="a0"/>
    <w:link w:val="3"/>
    <w:qFormat/>
    <w:rPr>
      <w:b/>
      <w:bCs/>
      <w:kern w:val="2"/>
      <w:sz w:val="32"/>
      <w:szCs w:val="32"/>
    </w:rPr>
  </w:style>
  <w:style w:type="character" w:styleId="af8">
    <w:name w:val="Placeholder Text"/>
    <w:basedOn w:val="a0"/>
    <w:uiPriority w:val="99"/>
    <w:unhideWhenUsed/>
    <w:qFormat/>
    <w:rPr>
      <w:color w:val="808080"/>
    </w:rPr>
  </w:style>
  <w:style w:type="character" w:customStyle="1" w:styleId="Char0">
    <w:name w:val="批注文字 Char"/>
    <w:basedOn w:val="a0"/>
    <w:link w:val="a6"/>
    <w:semiHidden/>
    <w:qFormat/>
    <w:rPr>
      <w:kern w:val="2"/>
      <w:sz w:val="21"/>
      <w:szCs w:val="24"/>
    </w:rPr>
  </w:style>
  <w:style w:type="paragraph" w:customStyle="1" w:styleId="41">
    <w:name w:val="修订4"/>
    <w:hidden/>
    <w:uiPriority w:val="99"/>
    <w:unhideWhenUsed/>
    <w:qFormat/>
    <w:rPr>
      <w:kern w:val="2"/>
      <w:sz w:val="21"/>
      <w:szCs w:val="24"/>
    </w:rPr>
  </w:style>
  <w:style w:type="paragraph" w:customStyle="1" w:styleId="50">
    <w:name w:val="修订5"/>
    <w:hidden/>
    <w:uiPriority w:val="99"/>
    <w:unhideWhenUsed/>
    <w:qFormat/>
    <w:rPr>
      <w:kern w:val="2"/>
      <w:sz w:val="21"/>
      <w:szCs w:val="24"/>
    </w:rPr>
  </w:style>
  <w:style w:type="paragraph" w:customStyle="1" w:styleId="60">
    <w:name w:val="修订6"/>
    <w:hidden/>
    <w:uiPriority w:val="99"/>
    <w:semiHidden/>
    <w:qFormat/>
    <w:rPr>
      <w:kern w:val="2"/>
      <w:sz w:val="21"/>
      <w:szCs w:val="24"/>
    </w:rPr>
  </w:style>
  <w:style w:type="paragraph" w:customStyle="1" w:styleId="70">
    <w:name w:val="修订7"/>
    <w:hidden/>
    <w:uiPriority w:val="99"/>
    <w:unhideWhenUsed/>
    <w:qFormat/>
    <w:rPr>
      <w:kern w:val="2"/>
      <w:sz w:val="21"/>
      <w:szCs w:val="24"/>
    </w:rPr>
  </w:style>
  <w:style w:type="paragraph" w:customStyle="1" w:styleId="80">
    <w:name w:val="修订8"/>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theme" Target="theme/theme1.xml"/><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89.bin"/><Relationship Id="rId170" Type="http://schemas.openxmlformats.org/officeDocument/2006/relationships/image" Target="media/image67.wmf"/><Relationship Id="rId226" Type="http://schemas.openxmlformats.org/officeDocument/2006/relationships/image" Target="media/image82.wmf"/><Relationship Id="rId268" Type="http://schemas.openxmlformats.org/officeDocument/2006/relationships/oleObject" Target="embeddings/oleObject168.bin"/><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image" Target="media/image54.wmf"/><Relationship Id="rId5" Type="http://schemas.openxmlformats.org/officeDocument/2006/relationships/webSettings" Target="webSettings.xml"/><Relationship Id="rId181" Type="http://schemas.openxmlformats.org/officeDocument/2006/relationships/oleObject" Target="embeddings/oleObject104.bin"/><Relationship Id="rId237" Type="http://schemas.openxmlformats.org/officeDocument/2006/relationships/oleObject" Target="embeddings/oleObject147.bin"/><Relationship Id="rId279" Type="http://schemas.openxmlformats.org/officeDocument/2006/relationships/oleObject" Target="embeddings/oleObject175.bin"/><Relationship Id="rId43" Type="http://schemas.openxmlformats.org/officeDocument/2006/relationships/oleObject" Target="embeddings/oleObject18.bin"/><Relationship Id="rId139" Type="http://schemas.openxmlformats.org/officeDocument/2006/relationships/oleObject" Target="embeddings/oleObject75.bin"/><Relationship Id="rId290" Type="http://schemas.openxmlformats.org/officeDocument/2006/relationships/image" Target="media/image102.wmf"/><Relationship Id="rId85" Type="http://schemas.openxmlformats.org/officeDocument/2006/relationships/oleObject" Target="embeddings/oleObject41.bin"/><Relationship Id="rId150" Type="http://schemas.openxmlformats.org/officeDocument/2006/relationships/oleObject" Target="embeddings/oleObject82.bin"/><Relationship Id="rId192" Type="http://schemas.openxmlformats.org/officeDocument/2006/relationships/image" Target="media/image74.wmf"/><Relationship Id="rId206" Type="http://schemas.openxmlformats.org/officeDocument/2006/relationships/image" Target="media/image77.wmf"/><Relationship Id="rId248" Type="http://schemas.openxmlformats.org/officeDocument/2006/relationships/oleObject" Target="embeddings/oleObject154.bin"/><Relationship Id="rId12" Type="http://schemas.openxmlformats.org/officeDocument/2006/relationships/image" Target="media/image3.wmf"/><Relationship Id="rId108" Type="http://schemas.openxmlformats.org/officeDocument/2006/relationships/image" Target="media/image46.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oleObject" Target="embeddings/oleObject76.bin"/><Relationship Id="rId161" Type="http://schemas.openxmlformats.org/officeDocument/2006/relationships/oleObject" Target="embeddings/oleObject91.bin"/><Relationship Id="rId182" Type="http://schemas.openxmlformats.org/officeDocument/2006/relationships/image" Target="media/image71.wmf"/><Relationship Id="rId217" Type="http://schemas.openxmlformats.org/officeDocument/2006/relationships/oleObject" Target="embeddings/oleObject129.bin"/><Relationship Id="rId6" Type="http://schemas.openxmlformats.org/officeDocument/2006/relationships/footnotes" Target="footnotes.xml"/><Relationship Id="rId238" Type="http://schemas.openxmlformats.org/officeDocument/2006/relationships/oleObject" Target="embeddings/oleObject148.bin"/><Relationship Id="rId259" Type="http://schemas.openxmlformats.org/officeDocument/2006/relationships/oleObject" Target="embeddings/oleObject160.bin"/><Relationship Id="rId23" Type="http://schemas.openxmlformats.org/officeDocument/2006/relationships/oleObject" Target="embeddings/oleObject8.bin"/><Relationship Id="rId119" Type="http://schemas.openxmlformats.org/officeDocument/2006/relationships/oleObject" Target="embeddings/oleObject62.bin"/><Relationship Id="rId270" Type="http://schemas.openxmlformats.org/officeDocument/2006/relationships/image" Target="media/image94.wmf"/><Relationship Id="rId291" Type="http://schemas.openxmlformats.org/officeDocument/2006/relationships/oleObject" Target="embeddings/oleObject182.bin"/><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image" Target="media/image38.wmf"/><Relationship Id="rId130" Type="http://schemas.openxmlformats.org/officeDocument/2006/relationships/image" Target="media/image55.wmf"/><Relationship Id="rId151" Type="http://schemas.openxmlformats.org/officeDocument/2006/relationships/oleObject" Target="embeddings/oleObject83.bin"/><Relationship Id="rId172" Type="http://schemas.openxmlformats.org/officeDocument/2006/relationships/oleObject" Target="embeddings/oleObject98.bin"/><Relationship Id="rId193" Type="http://schemas.openxmlformats.org/officeDocument/2006/relationships/oleObject" Target="embeddings/oleObject112.bin"/><Relationship Id="rId207" Type="http://schemas.openxmlformats.org/officeDocument/2006/relationships/oleObject" Target="embeddings/oleObject123.bin"/><Relationship Id="rId228" Type="http://schemas.openxmlformats.org/officeDocument/2006/relationships/image" Target="media/image83.wmf"/><Relationship Id="rId249" Type="http://schemas.openxmlformats.org/officeDocument/2006/relationships/image" Target="media/image88.wmf"/><Relationship Id="rId13" Type="http://schemas.openxmlformats.org/officeDocument/2006/relationships/oleObject" Target="embeddings/oleObject3.bin"/><Relationship Id="rId109" Type="http://schemas.openxmlformats.org/officeDocument/2006/relationships/oleObject" Target="embeddings/oleObject56.bin"/><Relationship Id="rId260" Type="http://schemas.openxmlformats.org/officeDocument/2006/relationships/oleObject" Target="embeddings/oleObject161.bin"/><Relationship Id="rId281" Type="http://schemas.openxmlformats.org/officeDocument/2006/relationships/oleObject" Target="embeddings/oleObject177.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oleObject" Target="embeddings/oleObject63.bin"/><Relationship Id="rId141" Type="http://schemas.openxmlformats.org/officeDocument/2006/relationships/image" Target="media/image58.wmf"/><Relationship Id="rId7" Type="http://schemas.openxmlformats.org/officeDocument/2006/relationships/endnotes" Target="endnotes.xml"/><Relationship Id="rId162" Type="http://schemas.openxmlformats.org/officeDocument/2006/relationships/oleObject" Target="embeddings/oleObject92.bin"/><Relationship Id="rId183" Type="http://schemas.openxmlformats.org/officeDocument/2006/relationships/oleObject" Target="embeddings/oleObject105.bin"/><Relationship Id="rId218" Type="http://schemas.openxmlformats.org/officeDocument/2006/relationships/oleObject" Target="embeddings/oleObject130.bin"/><Relationship Id="rId239" Type="http://schemas.openxmlformats.org/officeDocument/2006/relationships/oleObject" Target="embeddings/oleObject149.bin"/><Relationship Id="rId250" Type="http://schemas.openxmlformats.org/officeDocument/2006/relationships/oleObject" Target="embeddings/oleObject155.bin"/><Relationship Id="rId271" Type="http://schemas.openxmlformats.org/officeDocument/2006/relationships/oleObject" Target="embeddings/oleObject170.bin"/><Relationship Id="rId292" Type="http://schemas.openxmlformats.org/officeDocument/2006/relationships/image" Target="media/image103.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image" Target="media/image47.wmf"/><Relationship Id="rId131" Type="http://schemas.openxmlformats.org/officeDocument/2006/relationships/oleObject" Target="embeddings/oleObject69.bin"/><Relationship Id="rId152" Type="http://schemas.openxmlformats.org/officeDocument/2006/relationships/image" Target="media/image62.wmf"/><Relationship Id="rId173" Type="http://schemas.openxmlformats.org/officeDocument/2006/relationships/image" Target="media/image68.wmf"/><Relationship Id="rId194" Type="http://schemas.openxmlformats.org/officeDocument/2006/relationships/image" Target="media/image75.wmf"/><Relationship Id="rId208" Type="http://schemas.openxmlformats.org/officeDocument/2006/relationships/image" Target="media/image78.wmf"/><Relationship Id="rId229" Type="http://schemas.openxmlformats.org/officeDocument/2006/relationships/oleObject" Target="embeddings/oleObject139.bin"/><Relationship Id="rId240" Type="http://schemas.openxmlformats.org/officeDocument/2006/relationships/oleObject" Target="embeddings/oleObject150.bin"/><Relationship Id="rId261" Type="http://schemas.openxmlformats.org/officeDocument/2006/relationships/oleObject" Target="embeddings/oleObject162.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50.bin"/><Relationship Id="rId282" Type="http://schemas.openxmlformats.org/officeDocument/2006/relationships/image" Target="media/image98.wmf"/><Relationship Id="rId8" Type="http://schemas.openxmlformats.org/officeDocument/2006/relationships/image" Target="media/image1.wmf"/><Relationship Id="rId98" Type="http://schemas.openxmlformats.org/officeDocument/2006/relationships/oleObject" Target="embeddings/oleObject48.bin"/><Relationship Id="rId121" Type="http://schemas.openxmlformats.org/officeDocument/2006/relationships/image" Target="media/image51.wmf"/><Relationship Id="rId142" Type="http://schemas.openxmlformats.org/officeDocument/2006/relationships/oleObject" Target="embeddings/oleObject77.bin"/><Relationship Id="rId163" Type="http://schemas.openxmlformats.org/officeDocument/2006/relationships/oleObject" Target="embeddings/oleObject93.bin"/><Relationship Id="rId184" Type="http://schemas.openxmlformats.org/officeDocument/2006/relationships/oleObject" Target="embeddings/oleObject106.bin"/><Relationship Id="rId219" Type="http://schemas.openxmlformats.org/officeDocument/2006/relationships/oleObject" Target="embeddings/oleObject131.bin"/><Relationship Id="rId230" Type="http://schemas.openxmlformats.org/officeDocument/2006/relationships/oleObject" Target="embeddings/oleObject140.bin"/><Relationship Id="rId251" Type="http://schemas.openxmlformats.org/officeDocument/2006/relationships/image" Target="media/image89.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image" Target="media/image95.wmf"/><Relationship Id="rId293" Type="http://schemas.openxmlformats.org/officeDocument/2006/relationships/oleObject" Target="embeddings/oleObject183.bin"/><Relationship Id="rId88" Type="http://schemas.openxmlformats.org/officeDocument/2006/relationships/oleObject" Target="embeddings/oleObject42.bin"/><Relationship Id="rId111" Type="http://schemas.openxmlformats.org/officeDocument/2006/relationships/oleObject" Target="embeddings/oleObject57.bin"/><Relationship Id="rId132" Type="http://schemas.openxmlformats.org/officeDocument/2006/relationships/oleObject" Target="embeddings/oleObject70.bin"/><Relationship Id="rId153" Type="http://schemas.openxmlformats.org/officeDocument/2006/relationships/oleObject" Target="embeddings/oleObject84.bin"/><Relationship Id="rId174" Type="http://schemas.openxmlformats.org/officeDocument/2006/relationships/oleObject" Target="embeddings/oleObject99.bin"/><Relationship Id="rId195" Type="http://schemas.openxmlformats.org/officeDocument/2006/relationships/oleObject" Target="embeddings/oleObject113.bin"/><Relationship Id="rId209" Type="http://schemas.openxmlformats.org/officeDocument/2006/relationships/oleObject" Target="embeddings/oleObject124.bin"/><Relationship Id="rId220" Type="http://schemas.openxmlformats.org/officeDocument/2006/relationships/oleObject" Target="embeddings/oleObject132.bin"/><Relationship Id="rId241" Type="http://schemas.openxmlformats.org/officeDocument/2006/relationships/image" Target="media/image84.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oleObject" Target="embeddings/oleObject163.bin"/><Relationship Id="rId283" Type="http://schemas.openxmlformats.org/officeDocument/2006/relationships/oleObject" Target="embeddings/oleObject178.bin"/><Relationship Id="rId78" Type="http://schemas.openxmlformats.org/officeDocument/2006/relationships/image" Target="media/image35.wmf"/><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oleObject" Target="embeddings/oleObject64.bin"/><Relationship Id="rId143" Type="http://schemas.openxmlformats.org/officeDocument/2006/relationships/image" Target="media/image59.wmf"/><Relationship Id="rId164" Type="http://schemas.openxmlformats.org/officeDocument/2006/relationships/image" Target="media/image64.wmf"/><Relationship Id="rId185" Type="http://schemas.openxmlformats.org/officeDocument/2006/relationships/image" Target="media/image72.wmf"/><Relationship Id="rId9" Type="http://schemas.openxmlformats.org/officeDocument/2006/relationships/oleObject" Target="embeddings/oleObject1.bin"/><Relationship Id="rId210" Type="http://schemas.openxmlformats.org/officeDocument/2006/relationships/image" Target="media/image79.wmf"/><Relationship Id="rId26" Type="http://schemas.openxmlformats.org/officeDocument/2006/relationships/image" Target="media/image10.wmf"/><Relationship Id="rId231" Type="http://schemas.openxmlformats.org/officeDocument/2006/relationships/oleObject" Target="embeddings/oleObject141.bin"/><Relationship Id="rId252" Type="http://schemas.openxmlformats.org/officeDocument/2006/relationships/oleObject" Target="embeddings/oleObject156.bin"/><Relationship Id="rId273" Type="http://schemas.openxmlformats.org/officeDocument/2006/relationships/oleObject" Target="embeddings/oleObject171.bin"/><Relationship Id="rId294" Type="http://schemas.openxmlformats.org/officeDocument/2006/relationships/image" Target="media/image104.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image" Target="media/image48.png"/><Relationship Id="rId133" Type="http://schemas.openxmlformats.org/officeDocument/2006/relationships/oleObject" Target="embeddings/oleObject71.bin"/><Relationship Id="rId154" Type="http://schemas.openxmlformats.org/officeDocument/2006/relationships/oleObject" Target="embeddings/oleObject85.bin"/><Relationship Id="rId175" Type="http://schemas.openxmlformats.org/officeDocument/2006/relationships/image" Target="media/image69.wmf"/><Relationship Id="rId196" Type="http://schemas.openxmlformats.org/officeDocument/2006/relationships/image" Target="media/image76.wmf"/><Relationship Id="rId200" Type="http://schemas.openxmlformats.org/officeDocument/2006/relationships/oleObject" Target="embeddings/oleObject117.bin"/><Relationship Id="rId16" Type="http://schemas.openxmlformats.org/officeDocument/2006/relationships/image" Target="media/image5.wmf"/><Relationship Id="rId221" Type="http://schemas.openxmlformats.org/officeDocument/2006/relationships/oleObject" Target="embeddings/oleObject133.bin"/><Relationship Id="rId242" Type="http://schemas.openxmlformats.org/officeDocument/2006/relationships/oleObject" Target="embeddings/oleObject151.bin"/><Relationship Id="rId263" Type="http://schemas.openxmlformats.org/officeDocument/2006/relationships/oleObject" Target="embeddings/oleObject164.bin"/><Relationship Id="rId284" Type="http://schemas.openxmlformats.org/officeDocument/2006/relationships/image" Target="media/image99.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52.bin"/><Relationship Id="rId123" Type="http://schemas.openxmlformats.org/officeDocument/2006/relationships/oleObject" Target="embeddings/oleObject65.bin"/><Relationship Id="rId144" Type="http://schemas.openxmlformats.org/officeDocument/2006/relationships/oleObject" Target="embeddings/oleObject78.bin"/><Relationship Id="rId90" Type="http://schemas.openxmlformats.org/officeDocument/2006/relationships/oleObject" Target="embeddings/oleObject43.bin"/><Relationship Id="rId165" Type="http://schemas.openxmlformats.org/officeDocument/2006/relationships/oleObject" Target="embeddings/oleObject94.bin"/><Relationship Id="rId186" Type="http://schemas.openxmlformats.org/officeDocument/2006/relationships/oleObject" Target="embeddings/oleObject107.bin"/><Relationship Id="rId211" Type="http://schemas.openxmlformats.org/officeDocument/2006/relationships/oleObject" Target="embeddings/oleObject125.bin"/><Relationship Id="rId232" Type="http://schemas.openxmlformats.org/officeDocument/2006/relationships/oleObject" Target="embeddings/oleObject142.bin"/><Relationship Id="rId253" Type="http://schemas.openxmlformats.org/officeDocument/2006/relationships/image" Target="media/image90.wmf"/><Relationship Id="rId274" Type="http://schemas.openxmlformats.org/officeDocument/2006/relationships/image" Target="media/image96.wmf"/><Relationship Id="rId295" Type="http://schemas.openxmlformats.org/officeDocument/2006/relationships/oleObject" Target="embeddings/oleObject184.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49.wmf"/><Relationship Id="rId134" Type="http://schemas.openxmlformats.org/officeDocument/2006/relationships/oleObject" Target="embeddings/oleObject72.bin"/><Relationship Id="rId80" Type="http://schemas.openxmlformats.org/officeDocument/2006/relationships/image" Target="media/image36.png"/><Relationship Id="rId155" Type="http://schemas.openxmlformats.org/officeDocument/2006/relationships/image" Target="media/image63.wmf"/><Relationship Id="rId176" Type="http://schemas.openxmlformats.org/officeDocument/2006/relationships/oleObject" Target="embeddings/oleObject100.bin"/><Relationship Id="rId197" Type="http://schemas.openxmlformats.org/officeDocument/2006/relationships/oleObject" Target="embeddings/oleObject114.bin"/><Relationship Id="rId201" Type="http://schemas.openxmlformats.org/officeDocument/2006/relationships/oleObject" Target="embeddings/oleObject118.bin"/><Relationship Id="rId222" Type="http://schemas.openxmlformats.org/officeDocument/2006/relationships/oleObject" Target="embeddings/oleObject134.bin"/><Relationship Id="rId243" Type="http://schemas.openxmlformats.org/officeDocument/2006/relationships/image" Target="media/image85.wmf"/><Relationship Id="rId264" Type="http://schemas.openxmlformats.org/officeDocument/2006/relationships/image" Target="media/image93.wmf"/><Relationship Id="rId285" Type="http://schemas.openxmlformats.org/officeDocument/2006/relationships/oleObject" Target="embeddings/oleObject179.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3.bin"/><Relationship Id="rId124" Type="http://schemas.openxmlformats.org/officeDocument/2006/relationships/image" Target="media/image52.wmf"/><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oleObject" Target="embeddings/oleObject79.bin"/><Relationship Id="rId166" Type="http://schemas.openxmlformats.org/officeDocument/2006/relationships/image" Target="media/image65.wmf"/><Relationship Id="rId187" Type="http://schemas.openxmlformats.org/officeDocument/2006/relationships/oleObject" Target="embeddings/oleObject108.bin"/><Relationship Id="rId1" Type="http://schemas.openxmlformats.org/officeDocument/2006/relationships/customXml" Target="../customXml/item1.xml"/><Relationship Id="rId212" Type="http://schemas.openxmlformats.org/officeDocument/2006/relationships/image" Target="media/image80.wmf"/><Relationship Id="rId233" Type="http://schemas.openxmlformats.org/officeDocument/2006/relationships/oleObject" Target="embeddings/oleObject143.bin"/><Relationship Id="rId254" Type="http://schemas.openxmlformats.org/officeDocument/2006/relationships/oleObject" Target="embeddings/oleObject157.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8.bin"/><Relationship Id="rId275" Type="http://schemas.openxmlformats.org/officeDocument/2006/relationships/oleObject" Target="embeddings/oleObject172.bin"/><Relationship Id="rId296" Type="http://schemas.openxmlformats.org/officeDocument/2006/relationships/footer" Target="footer1.xml"/><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73.bin"/><Relationship Id="rId156" Type="http://schemas.openxmlformats.org/officeDocument/2006/relationships/oleObject" Target="embeddings/oleObject86.bin"/><Relationship Id="rId177" Type="http://schemas.openxmlformats.org/officeDocument/2006/relationships/oleObject" Target="embeddings/oleObject101.bin"/><Relationship Id="rId198" Type="http://schemas.openxmlformats.org/officeDocument/2006/relationships/oleObject" Target="embeddings/oleObject115.bin"/><Relationship Id="rId202" Type="http://schemas.openxmlformats.org/officeDocument/2006/relationships/oleObject" Target="embeddings/oleObject119.bin"/><Relationship Id="rId223" Type="http://schemas.openxmlformats.org/officeDocument/2006/relationships/oleObject" Target="embeddings/oleObject135.bin"/><Relationship Id="rId244" Type="http://schemas.openxmlformats.org/officeDocument/2006/relationships/oleObject" Target="embeddings/oleObject152.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65.bin"/><Relationship Id="rId286" Type="http://schemas.openxmlformats.org/officeDocument/2006/relationships/image" Target="media/image100.wmf"/><Relationship Id="rId50" Type="http://schemas.openxmlformats.org/officeDocument/2006/relationships/image" Target="media/image22.wmf"/><Relationship Id="rId104" Type="http://schemas.openxmlformats.org/officeDocument/2006/relationships/oleObject" Target="embeddings/oleObject54.bin"/><Relationship Id="rId125" Type="http://schemas.openxmlformats.org/officeDocument/2006/relationships/oleObject" Target="embeddings/oleObject66.bin"/><Relationship Id="rId146" Type="http://schemas.openxmlformats.org/officeDocument/2006/relationships/image" Target="media/image60.wmf"/><Relationship Id="rId167" Type="http://schemas.openxmlformats.org/officeDocument/2006/relationships/oleObject" Target="embeddings/oleObject95.bin"/><Relationship Id="rId188" Type="http://schemas.openxmlformats.org/officeDocument/2006/relationships/oleObject" Target="embeddings/oleObject109.bin"/><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oleObject" Target="embeddings/oleObject126.bin"/><Relationship Id="rId234" Type="http://schemas.openxmlformats.org/officeDocument/2006/relationships/oleObject" Target="embeddings/oleObject144.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91.wmf"/><Relationship Id="rId276" Type="http://schemas.openxmlformats.org/officeDocument/2006/relationships/oleObject" Target="embeddings/oleObject173.bin"/><Relationship Id="rId297" Type="http://schemas.openxmlformats.org/officeDocument/2006/relationships/footer" Target="footer2.xml"/><Relationship Id="rId40" Type="http://schemas.openxmlformats.org/officeDocument/2006/relationships/image" Target="media/image17.wmf"/><Relationship Id="rId115" Type="http://schemas.openxmlformats.org/officeDocument/2006/relationships/image" Target="media/image50.wmf"/><Relationship Id="rId136" Type="http://schemas.openxmlformats.org/officeDocument/2006/relationships/image" Target="media/image56.wmf"/><Relationship Id="rId157" Type="http://schemas.openxmlformats.org/officeDocument/2006/relationships/oleObject" Target="embeddings/oleObject87.bin"/><Relationship Id="rId178" Type="http://schemas.openxmlformats.org/officeDocument/2006/relationships/oleObject" Target="embeddings/oleObject102.bin"/><Relationship Id="rId61" Type="http://schemas.openxmlformats.org/officeDocument/2006/relationships/image" Target="media/image27.wmf"/><Relationship Id="rId82" Type="http://schemas.openxmlformats.org/officeDocument/2006/relationships/image" Target="media/image37.wmf"/><Relationship Id="rId199" Type="http://schemas.openxmlformats.org/officeDocument/2006/relationships/oleObject" Target="embeddings/oleObject116.bin"/><Relationship Id="rId203" Type="http://schemas.openxmlformats.org/officeDocument/2006/relationships/oleObject" Target="embeddings/oleObject120.bin"/><Relationship Id="rId19" Type="http://schemas.openxmlformats.org/officeDocument/2006/relationships/oleObject" Target="embeddings/oleObject6.bin"/><Relationship Id="rId224" Type="http://schemas.openxmlformats.org/officeDocument/2006/relationships/oleObject" Target="embeddings/oleObject136.bin"/><Relationship Id="rId245" Type="http://schemas.openxmlformats.org/officeDocument/2006/relationships/image" Target="media/image86.png"/><Relationship Id="rId266" Type="http://schemas.openxmlformats.org/officeDocument/2006/relationships/oleObject" Target="embeddings/oleObject166.bin"/><Relationship Id="rId287" Type="http://schemas.openxmlformats.org/officeDocument/2006/relationships/oleObject" Target="embeddings/oleObject180.bin"/><Relationship Id="rId30" Type="http://schemas.openxmlformats.org/officeDocument/2006/relationships/image" Target="media/image12.wmf"/><Relationship Id="rId105" Type="http://schemas.openxmlformats.org/officeDocument/2006/relationships/image" Target="media/image44.wmf"/><Relationship Id="rId126" Type="http://schemas.openxmlformats.org/officeDocument/2006/relationships/image" Target="media/image53.wmf"/><Relationship Id="rId147" Type="http://schemas.openxmlformats.org/officeDocument/2006/relationships/oleObject" Target="embeddings/oleObject80.bin"/><Relationship Id="rId168" Type="http://schemas.openxmlformats.org/officeDocument/2006/relationships/image" Target="media/image66.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oleObject" Target="embeddings/oleObject110.bin"/><Relationship Id="rId3" Type="http://schemas.openxmlformats.org/officeDocument/2006/relationships/styles" Target="styles.xml"/><Relationship Id="rId214" Type="http://schemas.openxmlformats.org/officeDocument/2006/relationships/image" Target="media/image81.wmf"/><Relationship Id="rId235" Type="http://schemas.openxmlformats.org/officeDocument/2006/relationships/oleObject" Target="embeddings/oleObject145.bin"/><Relationship Id="rId256" Type="http://schemas.openxmlformats.org/officeDocument/2006/relationships/oleObject" Target="embeddings/oleObject158.bin"/><Relationship Id="rId277" Type="http://schemas.openxmlformats.org/officeDocument/2006/relationships/oleObject" Target="embeddings/oleObject174.bin"/><Relationship Id="rId298" Type="http://schemas.openxmlformats.org/officeDocument/2006/relationships/fontTable" Target="fontTable.xml"/><Relationship Id="rId116" Type="http://schemas.openxmlformats.org/officeDocument/2006/relationships/oleObject" Target="embeddings/oleObject59.bin"/><Relationship Id="rId137" Type="http://schemas.openxmlformats.org/officeDocument/2006/relationships/oleObject" Target="embeddings/oleObject74.bin"/><Relationship Id="rId158" Type="http://schemas.openxmlformats.org/officeDocument/2006/relationships/oleObject" Target="embeddings/oleObject8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oleObject" Target="embeddings/oleObject103.bin"/><Relationship Id="rId190" Type="http://schemas.openxmlformats.org/officeDocument/2006/relationships/image" Target="media/image73.wmf"/><Relationship Id="rId204" Type="http://schemas.openxmlformats.org/officeDocument/2006/relationships/oleObject" Target="embeddings/oleObject121.bin"/><Relationship Id="rId225" Type="http://schemas.openxmlformats.org/officeDocument/2006/relationships/oleObject" Target="embeddings/oleObject137.bin"/><Relationship Id="rId246" Type="http://schemas.openxmlformats.org/officeDocument/2006/relationships/image" Target="media/image87.wmf"/><Relationship Id="rId267" Type="http://schemas.openxmlformats.org/officeDocument/2006/relationships/oleObject" Target="embeddings/oleObject167.bin"/><Relationship Id="rId288" Type="http://schemas.openxmlformats.org/officeDocument/2006/relationships/image" Target="media/image101.wmf"/><Relationship Id="rId106" Type="http://schemas.openxmlformats.org/officeDocument/2006/relationships/oleObject" Target="embeddings/oleObject55.bin"/><Relationship Id="rId127" Type="http://schemas.openxmlformats.org/officeDocument/2006/relationships/oleObject" Target="embeddings/oleObject6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oleObject" Target="embeddings/oleObject81.bin"/><Relationship Id="rId169" Type="http://schemas.openxmlformats.org/officeDocument/2006/relationships/oleObject" Target="embeddings/oleObject96.bin"/><Relationship Id="rId4" Type="http://schemas.openxmlformats.org/officeDocument/2006/relationships/settings" Target="settings.xml"/><Relationship Id="rId180" Type="http://schemas.openxmlformats.org/officeDocument/2006/relationships/image" Target="media/image70.wmf"/><Relationship Id="rId215" Type="http://schemas.openxmlformats.org/officeDocument/2006/relationships/oleObject" Target="embeddings/oleObject127.bin"/><Relationship Id="rId236" Type="http://schemas.openxmlformats.org/officeDocument/2006/relationships/oleObject" Target="embeddings/oleObject146.bin"/><Relationship Id="rId257" Type="http://schemas.openxmlformats.org/officeDocument/2006/relationships/image" Target="media/image92.wmf"/><Relationship Id="rId278" Type="http://schemas.openxmlformats.org/officeDocument/2006/relationships/image" Target="media/image97.wmf"/><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image" Target="media/image57.wmf"/><Relationship Id="rId191" Type="http://schemas.openxmlformats.org/officeDocument/2006/relationships/oleObject" Target="embeddings/oleObject111.bin"/><Relationship Id="rId205" Type="http://schemas.openxmlformats.org/officeDocument/2006/relationships/oleObject" Target="embeddings/oleObject122.bin"/><Relationship Id="rId247" Type="http://schemas.openxmlformats.org/officeDocument/2006/relationships/oleObject" Target="embeddings/oleObject153.bin"/><Relationship Id="rId107" Type="http://schemas.openxmlformats.org/officeDocument/2006/relationships/image" Target="media/image45.png"/><Relationship Id="rId289" Type="http://schemas.openxmlformats.org/officeDocument/2006/relationships/oleObject" Target="embeddings/oleObject181.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61.wmf"/><Relationship Id="rId95" Type="http://schemas.openxmlformats.org/officeDocument/2006/relationships/image" Target="media/image43.wmf"/><Relationship Id="rId160" Type="http://schemas.openxmlformats.org/officeDocument/2006/relationships/oleObject" Target="embeddings/oleObject90.bin"/><Relationship Id="rId216" Type="http://schemas.openxmlformats.org/officeDocument/2006/relationships/oleObject" Target="embeddings/oleObject128.bin"/><Relationship Id="rId258" Type="http://schemas.openxmlformats.org/officeDocument/2006/relationships/oleObject" Target="embeddings/oleObject159.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61.bin"/><Relationship Id="rId171" Type="http://schemas.openxmlformats.org/officeDocument/2006/relationships/oleObject" Target="embeddings/oleObject97.bin"/><Relationship Id="rId227" Type="http://schemas.openxmlformats.org/officeDocument/2006/relationships/oleObject" Target="embeddings/oleObject138.bin"/><Relationship Id="rId269" Type="http://schemas.openxmlformats.org/officeDocument/2006/relationships/oleObject" Target="embeddings/oleObject169.bin"/><Relationship Id="rId33" Type="http://schemas.openxmlformats.org/officeDocument/2006/relationships/oleObject" Target="embeddings/oleObject13.bin"/><Relationship Id="rId129" Type="http://schemas.openxmlformats.org/officeDocument/2006/relationships/oleObject" Target="embeddings/oleObject68.bin"/><Relationship Id="rId280" Type="http://schemas.openxmlformats.org/officeDocument/2006/relationships/oleObject" Target="embeddings/oleObject17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5D05-3273-4D7A-A313-912CF9A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41</Pages>
  <Words>4131</Words>
  <Characters>23551</Characters>
  <Application>Microsoft Office Word</Application>
  <DocSecurity>0</DocSecurity>
  <Lines>196</Lines>
  <Paragraphs>55</Paragraphs>
  <ScaleCrop>false</ScaleCrop>
  <Company>boc</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附件10</dc:title>
  <dc:creator>admin</dc:creator>
  <cp:lastModifiedBy>dell</cp:lastModifiedBy>
  <cp:revision>39</cp:revision>
  <cp:lastPrinted>2011-03-21T00:03:00Z</cp:lastPrinted>
  <dcterms:created xsi:type="dcterms:W3CDTF">2023-10-27T16:50:00Z</dcterms:created>
  <dcterms:modified xsi:type="dcterms:W3CDTF">2023-12-29T08:33:00Z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50B80784BF23422AA7FFE61A5B0F8990_13</vt:lpwstr>
  </property>
</Properties>
</file>