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DE3F" w14:textId="77777777" w:rsidR="0056070C" w:rsidRDefault="00BB5E36">
      <w:pPr>
        <w:pStyle w:val="ad"/>
        <w:jc w:val="both"/>
        <w:rPr>
          <w:rFonts w:ascii="黑体" w:eastAsia="黑体" w:hAnsi="黑体" w:cs="黑体"/>
          <w:sz w:val="32"/>
          <w:szCs w:val="30"/>
        </w:rPr>
      </w:pPr>
      <w:r>
        <w:rPr>
          <w:rFonts w:ascii="黑体" w:eastAsia="黑体" w:hAnsi="黑体" w:cs="黑体"/>
          <w:sz w:val="32"/>
          <w:szCs w:val="30"/>
        </w:rPr>
        <w:t>附件</w:t>
      </w:r>
      <w:r>
        <w:rPr>
          <w:rFonts w:ascii="黑体" w:eastAsia="黑体" w:hAnsi="黑体" w:cs="黑体"/>
          <w:sz w:val="32"/>
          <w:szCs w:val="30"/>
        </w:rPr>
        <w:t>9</w:t>
      </w:r>
    </w:p>
    <w:p w14:paraId="1A49EC3C" w14:textId="77777777" w:rsidR="0056070C" w:rsidRDefault="0056070C">
      <w:pPr>
        <w:pStyle w:val="ad"/>
        <w:spacing w:line="600" w:lineRule="exact"/>
        <w:jc w:val="both"/>
        <w:rPr>
          <w:rFonts w:ascii="楷体_GB2312" w:eastAsia="楷体_GB2312"/>
          <w:sz w:val="32"/>
          <w:szCs w:val="30"/>
        </w:rPr>
      </w:pPr>
    </w:p>
    <w:p w14:paraId="20F86901" w14:textId="77777777" w:rsidR="0056070C" w:rsidRDefault="00BB5E36">
      <w:pPr>
        <w:pStyle w:val="1"/>
        <w:spacing w:line="600" w:lineRule="exact"/>
        <w:ind w:firstLineChars="0" w:firstLine="0"/>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rPr>
        <w:t>交易对手信用风险加权资产计量规则</w:t>
      </w:r>
    </w:p>
    <w:p w14:paraId="74E10F78" w14:textId="77777777" w:rsidR="0056070C" w:rsidRDefault="0056070C">
      <w:pPr>
        <w:spacing w:line="600" w:lineRule="exact"/>
        <w:rPr>
          <w:rFonts w:ascii="Times New Roman" w:eastAsia="黑体" w:hAnsi="Times New Roman" w:cs="Times New Roman"/>
          <w:b/>
          <w:sz w:val="36"/>
          <w:szCs w:val="36"/>
        </w:rPr>
      </w:pPr>
    </w:p>
    <w:p w14:paraId="791B7310" w14:textId="77777777" w:rsidR="0056070C" w:rsidRDefault="00BB5E36">
      <w:pPr>
        <w:pStyle w:val="2"/>
        <w:jc w:val="both"/>
      </w:pPr>
      <w:r>
        <w:t>一、总体要求</w:t>
      </w:r>
    </w:p>
    <w:p w14:paraId="2D1A3269"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一）交易对手信用风险是指针对衍生工具、证券融资交易的交易对手在交易相关的现金流结算完成前，因为交易对手违约所导致的风险。当违约发生时，若与该交易对手相关的交易或涉及该交易的资产组合市场价值为正数，则会产生损失。与发放贷款所产生的单向信用风险不同，交易对手信用风险产生双向的损失风险，相关交易的市场价值对于交易双方来说具有不确定性和双向性。</w:t>
      </w:r>
    </w:p>
    <w:p w14:paraId="610CBAE3"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（二）商业银行应制定与其交易活动的特征、复杂程度和风险暴露水平相适应的交易对手信用风险管理政策和程序。</w:t>
      </w:r>
    </w:p>
    <w:p w14:paraId="406A8103"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（三）商业银行应计算交易对手信用风险暴露的风险加权资产，包括与交易</w:t>
      </w:r>
      <w:r>
        <w:rPr>
          <w:rFonts w:ascii="仿宋_GB2312" w:eastAsia="仿宋_GB2312" w:hAnsi="Times New Roman" w:cs="Times New Roman" w:hint="eastAsia"/>
          <w:bCs/>
          <w:sz w:val="30"/>
          <w:szCs w:val="30"/>
        </w:rPr>
        <w:t>对手的衍生工具交易和证券融资交易形成的交易对手信用风险。</w:t>
      </w:r>
    </w:p>
    <w:p w14:paraId="50E4352B"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（四）本规则所指的衍生工具包括场外衍生工具、交易所交易的衍生工具和长期限结算交易。长期限结算交易的认定标准为：金融工具结算日远于交易日后五个交易日，或远于其市场惯例结算日。</w:t>
      </w:r>
    </w:p>
    <w:p w14:paraId="5DD88DBB"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衍生工具的资产类别包括：利率类工具、汇率类工具、信用类工具、股票类工具和商品类工具。资产分类的依据是衍生工具的主要风险因子，由其参考标的工具决定。当一个衍生工具同时包含不同类型的风险因子时，商业银行应根据不同风险因子的敏感性和波动率来确定主要风险因子，并保持主要风险因子判断方法的</w:t>
      </w:r>
      <w:r>
        <w:rPr>
          <w:rFonts w:ascii="仿宋_GB2312" w:eastAsia="仿宋_GB2312" w:hAnsi="Times New Roman" w:cs="Times New Roman" w:hint="eastAsia"/>
          <w:bCs/>
          <w:sz w:val="30"/>
          <w:szCs w:val="30"/>
        </w:rPr>
        <w:t>一致性。若商业银行难以辨别主要风险因子，</w:t>
      </w:r>
      <w:r>
        <w:rPr>
          <w:rFonts w:ascii="仿宋_GB2312" w:eastAsia="仿宋_GB2312" w:hAnsi="Times New Roman" w:cs="Times New Roman" w:hint="eastAsia"/>
          <w:bCs/>
          <w:sz w:val="30"/>
          <w:szCs w:val="30"/>
        </w:rPr>
        <w:lastRenderedPageBreak/>
        <w:t>则应按照监管因子孰高的原则审慎认定。</w:t>
      </w:r>
    </w:p>
    <w:p w14:paraId="57C23A57"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（五）本规则所指的证券融资交易包括证券回购、证券借贷和保证金贷款等交易。</w:t>
      </w:r>
    </w:p>
    <w:p w14:paraId="5144FBAA"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（六）与非中央交易对手交易的衍生工具和证券融资交易的交易对手信用风险加权资产包括交易对手违约风险加权资产与信用估值调整风险加权资产两部分。</w:t>
      </w:r>
    </w:p>
    <w:p w14:paraId="5E777D5A"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信用估值调整风险是指交易对手信用状况恶化、信用利差扩大导致商业银行衍生工具和证券融资交易发生损失的风险。对信用估值调整风险加权资产计量规则见本办法附件</w:t>
      </w:r>
      <w:r>
        <w:rPr>
          <w:rFonts w:ascii="仿宋_GB2312" w:eastAsia="仿宋_GB2312" w:hAnsi="Times New Roman" w:cs="Times New Roman" w:hint="eastAsia"/>
          <w:bCs/>
          <w:sz w:val="30"/>
          <w:szCs w:val="30"/>
        </w:rPr>
        <w:t>17</w:t>
      </w:r>
      <w:r>
        <w:rPr>
          <w:rFonts w:ascii="仿宋_GB2312" w:eastAsia="仿宋_GB2312" w:hAnsi="Times New Roman" w:cs="Times New Roman" w:hint="eastAsia"/>
          <w:bCs/>
          <w:sz w:val="30"/>
          <w:szCs w:val="30"/>
        </w:rPr>
        <w:t>。</w:t>
      </w:r>
    </w:p>
    <w:p w14:paraId="2910C24F" w14:textId="77777777" w:rsidR="0056070C" w:rsidRDefault="00BB5E36">
      <w:pPr>
        <w:spacing w:line="480" w:lineRule="exact"/>
        <w:ind w:firstLineChars="200" w:firstLine="600"/>
        <w:rPr>
          <w:rFonts w:ascii="仿宋_GB2312" w:eastAsia="仿宋_GB2312" w:hAnsi="Times New Roman" w:cs="Times New Roman"/>
          <w:bCs/>
          <w:sz w:val="28"/>
          <w:szCs w:val="28"/>
        </w:rPr>
      </w:pPr>
      <w:r>
        <w:rPr>
          <w:rFonts w:ascii="仿宋_GB2312" w:eastAsia="仿宋_GB2312" w:hAnsi="Times New Roman" w:cs="Times New Roman" w:hint="eastAsia"/>
          <w:bCs/>
          <w:sz w:val="30"/>
          <w:szCs w:val="30"/>
        </w:rPr>
        <w:t>（七）对中央交易对手风险暴露的风险加权资产计量规则见本办法附件</w:t>
      </w:r>
      <w:r>
        <w:rPr>
          <w:rFonts w:ascii="仿宋_GB2312" w:eastAsia="仿宋_GB2312" w:hAnsi="Times New Roman" w:cs="Times New Roman" w:hint="eastAsia"/>
          <w:bCs/>
          <w:sz w:val="30"/>
          <w:szCs w:val="30"/>
        </w:rPr>
        <w:t>10</w:t>
      </w:r>
      <w:r>
        <w:rPr>
          <w:rFonts w:ascii="仿宋_GB2312" w:eastAsia="仿宋_GB2312" w:hAnsi="Times New Roman" w:cs="Times New Roman" w:hint="eastAsia"/>
          <w:bCs/>
          <w:sz w:val="30"/>
          <w:szCs w:val="30"/>
        </w:rPr>
        <w:t>。</w:t>
      </w:r>
    </w:p>
    <w:p w14:paraId="02FB17A9" w14:textId="77777777" w:rsidR="0056070C" w:rsidRDefault="00BB5E36">
      <w:pPr>
        <w:pStyle w:val="2"/>
        <w:jc w:val="both"/>
      </w:pPr>
      <w:r>
        <w:t>二、与非中央交易对手交易的衍生工具的交易对手违约风险加权资产的计量</w:t>
      </w:r>
    </w:p>
    <w:p w14:paraId="75C76264"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（一）商业银行可采用权重法或内部评级法计算与非中央交易对手交易的衍生工具的交易对手违约风险加权资产。</w:t>
      </w:r>
    </w:p>
    <w:p w14:paraId="7D1698C7"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（二）商业银行采用权重法的，交易对手违约风险加权资产为与非中央交易对手交易的衍生工具交易的违约风险暴露乘以本办法附件</w:t>
      </w: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规定的交易对手的风险权重。</w:t>
      </w:r>
    </w:p>
    <w:p w14:paraId="66F00433"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（三）商业银行采用内部评级法的，应按照本办法附件</w:t>
      </w: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的规定计量交易对手违约风险加权资产。</w:t>
      </w:r>
    </w:p>
    <w:p w14:paraId="20DE06C0"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（四）商业银行应按照本部分标准法和现期风险暴露法的要求，计算衍生工具的交易对手违约风险暴露。并表口径</w:t>
      </w:r>
      <w:r>
        <w:rPr>
          <w:rFonts w:ascii="仿宋_GB2312" w:eastAsia="仿宋_GB2312" w:hAnsi="Times New Roman" w:cs="Times New Roman" w:hint="eastAsia"/>
          <w:bCs/>
          <w:sz w:val="30"/>
          <w:szCs w:val="30"/>
        </w:rPr>
        <w:t>衍生工具名义本金达到</w:t>
      </w:r>
      <w:r>
        <w:rPr>
          <w:rFonts w:ascii="仿宋_GB2312" w:eastAsia="仿宋_GB2312" w:hAnsi="Times New Roman" w:cs="Times New Roman" w:hint="eastAsia"/>
          <w:bCs/>
          <w:sz w:val="30"/>
          <w:szCs w:val="30"/>
        </w:rPr>
        <w:t>5000</w:t>
      </w:r>
      <w:r>
        <w:rPr>
          <w:rFonts w:ascii="仿宋_GB2312" w:eastAsia="仿宋_GB2312" w:hAnsi="Times New Roman" w:cs="Times New Roman" w:hint="eastAsia"/>
          <w:bCs/>
          <w:sz w:val="30"/>
          <w:szCs w:val="30"/>
        </w:rPr>
        <w:t>亿元人民币（含）或占总资产比例达到</w:t>
      </w:r>
      <w:r>
        <w:rPr>
          <w:rFonts w:ascii="仿宋_GB2312" w:eastAsia="仿宋_GB2312" w:hAnsi="Times New Roman" w:cs="Times New Roman" w:hint="eastAsia"/>
          <w:bCs/>
          <w:sz w:val="30"/>
          <w:szCs w:val="30"/>
        </w:rPr>
        <w:t>30%</w:t>
      </w:r>
      <w:r>
        <w:rPr>
          <w:rFonts w:ascii="仿宋_GB2312" w:eastAsia="仿宋_GB2312" w:hAnsi="Times New Roman" w:cs="Times New Roman" w:hint="eastAsia"/>
          <w:bCs/>
          <w:sz w:val="30"/>
          <w:szCs w:val="30"/>
        </w:rPr>
        <w:t>（含）以上的商业银行应使用标准法计量违约风险暴露。</w:t>
      </w:r>
    </w:p>
    <w:p w14:paraId="00B5AEA6" w14:textId="77777777" w:rsidR="0056070C" w:rsidRDefault="00BB5E36">
      <w:pPr>
        <w:spacing w:line="480" w:lineRule="exact"/>
        <w:ind w:firstLineChars="200" w:firstLine="600"/>
        <w:rPr>
          <w:rFonts w:ascii="仿宋_GB2312" w:eastAsia="仿宋_GB2312" w:hAnsi="Times New Roman" w:cs="Times New Roman"/>
          <w:bCs/>
          <w:sz w:val="30"/>
          <w:szCs w:val="30"/>
          <w:lang w:val="zh-TW"/>
        </w:rPr>
      </w:pPr>
      <w:r>
        <w:rPr>
          <w:rFonts w:ascii="仿宋_GB2312" w:eastAsia="仿宋_GB2312" w:hAnsi="Times New Roman" w:cs="Times New Roman" w:hint="eastAsia"/>
          <w:bCs/>
          <w:sz w:val="30"/>
          <w:szCs w:val="30"/>
          <w:lang w:val="zh-TW"/>
        </w:rPr>
        <w:t>采用</w:t>
      </w:r>
      <w:r>
        <w:rPr>
          <w:rFonts w:ascii="仿宋_GB2312" w:eastAsia="仿宋_GB2312" w:hAnsi="Times New Roman" w:cs="Times New Roman" w:hint="eastAsia"/>
          <w:bCs/>
          <w:sz w:val="30"/>
          <w:szCs w:val="30"/>
        </w:rPr>
        <w:t>现期风险暴露法</w:t>
      </w:r>
      <w:r>
        <w:rPr>
          <w:rFonts w:ascii="仿宋_GB2312" w:eastAsia="仿宋_GB2312" w:hAnsi="Times New Roman" w:cs="Times New Roman" w:hint="eastAsia"/>
          <w:bCs/>
          <w:sz w:val="30"/>
          <w:szCs w:val="30"/>
          <w:lang w:val="zh-TW"/>
        </w:rPr>
        <w:t>计量</w:t>
      </w:r>
      <w:r>
        <w:rPr>
          <w:rFonts w:ascii="仿宋_GB2312" w:eastAsia="仿宋_GB2312" w:hAnsi="Times New Roman" w:cs="Times New Roman" w:hint="eastAsia"/>
          <w:bCs/>
          <w:sz w:val="30"/>
          <w:szCs w:val="30"/>
        </w:rPr>
        <w:t>违约风险暴露</w:t>
      </w:r>
      <w:r>
        <w:rPr>
          <w:rFonts w:ascii="仿宋_GB2312" w:eastAsia="仿宋_GB2312" w:hAnsi="Times New Roman" w:cs="Times New Roman" w:hint="eastAsia"/>
          <w:bCs/>
          <w:sz w:val="30"/>
          <w:szCs w:val="30"/>
          <w:lang w:val="zh-TW"/>
        </w:rPr>
        <w:t>的商业银行，若连续四个季度不再满足现期风险暴露法适用条件，应</w:t>
      </w:r>
      <w:r>
        <w:rPr>
          <w:rFonts w:ascii="仿宋_GB2312" w:eastAsia="仿宋_GB2312" w:hAnsi="Times New Roman" w:cs="Times New Roman" w:hint="eastAsia"/>
          <w:bCs/>
          <w:sz w:val="30"/>
          <w:szCs w:val="30"/>
        </w:rPr>
        <w:t>在第四个季度结束后的一个月内向国家金融监督管理总局或其派出机构报告</w:t>
      </w:r>
      <w:r>
        <w:rPr>
          <w:rFonts w:ascii="仿宋_GB2312" w:eastAsia="仿宋_GB2312" w:hAnsi="Times New Roman" w:cs="Times New Roman" w:hint="eastAsia"/>
          <w:bCs/>
          <w:sz w:val="30"/>
          <w:szCs w:val="30"/>
          <w:lang w:val="zh-TW"/>
        </w:rPr>
        <w:t>。</w:t>
      </w:r>
      <w:r>
        <w:rPr>
          <w:rFonts w:ascii="仿宋_GB2312" w:eastAsia="仿宋_GB2312" w:hAnsi="Times New Roman" w:cs="Times New Roman" w:hint="eastAsia"/>
          <w:bCs/>
          <w:sz w:val="30"/>
          <w:szCs w:val="30"/>
        </w:rPr>
        <w:t>国家金融监督管理总局</w:t>
      </w:r>
      <w:r>
        <w:rPr>
          <w:rFonts w:ascii="仿宋_GB2312" w:eastAsia="仿宋_GB2312" w:hAnsi="Times New Roman" w:cs="Times New Roman" w:hint="eastAsia"/>
          <w:bCs/>
          <w:sz w:val="30"/>
          <w:szCs w:val="30"/>
          <w:lang w:val="zh-TW"/>
        </w:rPr>
        <w:t>或其派出机构根据单家银行</w:t>
      </w:r>
      <w:r>
        <w:rPr>
          <w:rFonts w:ascii="仿宋_GB2312" w:eastAsia="仿宋_GB2312" w:hint="eastAsia"/>
          <w:sz w:val="30"/>
          <w:szCs w:val="30"/>
        </w:rPr>
        <w:t>经营管</w:t>
      </w:r>
      <w:r>
        <w:rPr>
          <w:rFonts w:ascii="仿宋_GB2312" w:eastAsia="仿宋_GB2312" w:hint="eastAsia"/>
          <w:sz w:val="30"/>
          <w:szCs w:val="30"/>
        </w:rPr>
        <w:lastRenderedPageBreak/>
        <w:t>理和风险水平</w:t>
      </w:r>
      <w:r>
        <w:rPr>
          <w:rFonts w:ascii="仿宋_GB2312" w:eastAsia="仿宋_GB2312" w:hAnsi="Times New Roman" w:cs="Times New Roman" w:hint="eastAsia"/>
          <w:bCs/>
          <w:sz w:val="30"/>
          <w:szCs w:val="30"/>
          <w:lang w:val="zh-TW"/>
        </w:rPr>
        <w:t>等情况，结合监管判断决定是否调整其交易对手违约风险暴露计量方法。国家金融监督管理总局或其派出机构决定调整单家银行交易对手违约风险暴露计量方法的，可对其</w:t>
      </w:r>
      <w:r>
        <w:rPr>
          <w:rFonts w:ascii="仿宋_GB2312" w:eastAsia="仿宋_GB2312" w:hAnsi="Times New Roman" w:cs="Times New Roman" w:hint="eastAsia"/>
          <w:bCs/>
          <w:sz w:val="30"/>
          <w:szCs w:val="30"/>
        </w:rPr>
        <w:t>设立不超过</w:t>
      </w:r>
      <w:r>
        <w:rPr>
          <w:rFonts w:ascii="仿宋_GB2312" w:eastAsia="仿宋_GB2312" w:hAnsi="Times New Roman" w:cs="Times New Roman"/>
          <w:bCs/>
          <w:sz w:val="30"/>
          <w:szCs w:val="30"/>
        </w:rPr>
        <w:t>1</w:t>
      </w:r>
      <w:r>
        <w:rPr>
          <w:rFonts w:ascii="仿宋_GB2312" w:eastAsia="仿宋_GB2312" w:hAnsi="Times New Roman" w:cs="Times New Roman"/>
          <w:bCs/>
          <w:sz w:val="30"/>
          <w:szCs w:val="30"/>
        </w:rPr>
        <w:t>年的实施准备期。准备期结束后，商业银行</w:t>
      </w:r>
      <w:r>
        <w:rPr>
          <w:rFonts w:ascii="仿宋_GB2312" w:eastAsia="仿宋_GB2312" w:hAnsi="Times New Roman" w:cs="Times New Roman" w:hint="eastAsia"/>
          <w:bCs/>
          <w:sz w:val="30"/>
          <w:szCs w:val="30"/>
          <w:lang w:val="zh-TW"/>
        </w:rPr>
        <w:t>应采用标准法计量</w:t>
      </w:r>
      <w:r>
        <w:rPr>
          <w:rFonts w:ascii="仿宋_GB2312" w:eastAsia="仿宋_GB2312" w:hAnsi="Times New Roman" w:cs="Times New Roman" w:hint="eastAsia"/>
          <w:bCs/>
          <w:sz w:val="30"/>
          <w:szCs w:val="30"/>
        </w:rPr>
        <w:t>违约风险暴露</w:t>
      </w:r>
      <w:r>
        <w:rPr>
          <w:rFonts w:ascii="仿宋_GB2312" w:eastAsia="仿宋_GB2312" w:hAnsi="Times New Roman" w:cs="Times New Roman" w:hint="eastAsia"/>
          <w:bCs/>
          <w:sz w:val="30"/>
          <w:szCs w:val="30"/>
          <w:lang w:val="zh-TW"/>
        </w:rPr>
        <w:t>，并向国家金融监督管理总局或其派出机构</w:t>
      </w:r>
      <w:r>
        <w:rPr>
          <w:rFonts w:ascii="仿宋_GB2312" w:eastAsia="仿宋_GB2312" w:hAnsi="Times New Roman" w:cs="Times New Roman" w:hint="eastAsia"/>
          <w:bCs/>
          <w:sz w:val="30"/>
          <w:szCs w:val="30"/>
        </w:rPr>
        <w:t>报告实施情况</w:t>
      </w:r>
      <w:r>
        <w:rPr>
          <w:rFonts w:ascii="仿宋_GB2312" w:eastAsia="仿宋_GB2312" w:hAnsi="Times New Roman" w:cs="Times New Roman" w:hint="eastAsia"/>
          <w:bCs/>
          <w:sz w:val="30"/>
          <w:szCs w:val="30"/>
          <w:lang w:val="zh-TW"/>
        </w:rPr>
        <w:t>。</w:t>
      </w:r>
    </w:p>
    <w:p w14:paraId="54F9C0F0"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采用标准法计量违约风险暴露的商业银行，若连续四个季度满足现期风险暴露法适用条件，应在第四个季度结束后的一个月内向国家金融监督管理总局或其派出机构报告。国家金融监督管理总局</w:t>
      </w:r>
      <w:r>
        <w:rPr>
          <w:rFonts w:ascii="仿宋_GB2312" w:eastAsia="仿宋_GB2312" w:hAnsi="Times New Roman" w:cs="Times New Roman" w:hint="eastAsia"/>
          <w:bCs/>
          <w:sz w:val="30"/>
          <w:szCs w:val="30"/>
          <w:lang w:val="zh-TW"/>
        </w:rPr>
        <w:t>或其派出机构根据单家银行</w:t>
      </w:r>
      <w:r>
        <w:rPr>
          <w:rFonts w:ascii="仿宋_GB2312" w:eastAsia="仿宋_GB2312" w:hint="eastAsia"/>
          <w:sz w:val="30"/>
          <w:szCs w:val="30"/>
        </w:rPr>
        <w:t>经营管理和风险水平</w:t>
      </w:r>
      <w:r>
        <w:rPr>
          <w:rFonts w:ascii="仿宋_GB2312" w:eastAsia="仿宋_GB2312" w:hAnsi="Times New Roman" w:cs="Times New Roman" w:hint="eastAsia"/>
          <w:bCs/>
          <w:sz w:val="30"/>
          <w:szCs w:val="30"/>
          <w:lang w:val="zh-TW"/>
        </w:rPr>
        <w:t>等情况，结合监管判</w:t>
      </w:r>
      <w:r>
        <w:rPr>
          <w:rFonts w:ascii="仿宋_GB2312" w:eastAsia="仿宋_GB2312" w:hAnsi="Times New Roman" w:cs="Times New Roman" w:hint="eastAsia"/>
          <w:bCs/>
          <w:sz w:val="30"/>
          <w:szCs w:val="30"/>
          <w:lang w:val="zh-TW"/>
        </w:rPr>
        <w:t>断决定是否调整其交易对手违约风险暴露计量方法。国家金融监督管理总局或其派出机构决定调整单家银行交易对手违约风险暴露计量方法的，</w:t>
      </w:r>
      <w:r>
        <w:rPr>
          <w:rFonts w:ascii="仿宋_GB2312" w:eastAsia="仿宋_GB2312" w:hAnsi="Times New Roman" w:cs="Times New Roman" w:hint="eastAsia"/>
          <w:bCs/>
          <w:sz w:val="30"/>
          <w:szCs w:val="30"/>
        </w:rPr>
        <w:t>商业银行应及时采用现期风险暴露法计量违约风险暴露，并向国家金融监督管理总局或其派出机构报告实施情况。</w:t>
      </w:r>
    </w:p>
    <w:p w14:paraId="0C6B9E98"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（五）商业银行使用标准法计量违约风险暴露，应满足下列要求：</w:t>
      </w:r>
    </w:p>
    <w:p w14:paraId="17AFDF46"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商业银行应制定分类政策，确定净额结算组合定义。净额结算组合是商业银行与单个交易对手在同一个有效净额结算协议下所发生全部交易的集合，应符合下列标准：</w:t>
      </w:r>
    </w:p>
    <w:p w14:paraId="511540CB"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）商业银行应与交易对手签订净额结算协议。在交易对手违约或者被清算时，</w:t>
      </w:r>
      <w:r>
        <w:rPr>
          <w:rFonts w:ascii="仿宋_GB2312" w:eastAsia="仿宋_GB2312" w:hAnsi="Times New Roman" w:cs="Times New Roman" w:hint="eastAsia"/>
          <w:bCs/>
          <w:sz w:val="30"/>
          <w:szCs w:val="30"/>
        </w:rPr>
        <w:t>对包含收取权利和支付义务相关交易的盯市价值，商业银行可采取净额结算方式进行清算。</w:t>
      </w:r>
    </w:p>
    <w:p w14:paraId="376386B6"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商业银行应确保净额结算协议合法有效，就净额结算协议涉及的法律问题获得书面法律审查意见，以确保净额结算能够有效实施。法律审查意见应至少包括：交易对手所在国的法律；如净额结算涉及交易对手的境外分支机构，该境外分支机构所在国的法律；净额结算协议覆盖的每笔交易适用的法律；其他可能影响净额结算协议适用的法律。</w:t>
      </w:r>
    </w:p>
    <w:p w14:paraId="0033BB3A"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lastRenderedPageBreak/>
        <w:t>（</w:t>
      </w: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）在净额结算协议适用的法律发生变化时，商业银行应确保相关协议仍合法有效。</w:t>
      </w:r>
    </w:p>
    <w:p w14:paraId="5BA26201"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商业银行应将衍生工具划分至相应的资产类别和抵消组合。商业银行应遵循唯一性、一致性原则及审慎监管要求来制定衍生工具分类流程和</w:t>
      </w:r>
      <w:r>
        <w:rPr>
          <w:rFonts w:ascii="仿宋_GB2312" w:eastAsia="仿宋_GB2312" w:hAnsi="Times New Roman" w:cs="Times New Roman" w:hint="eastAsia"/>
          <w:bCs/>
          <w:sz w:val="30"/>
          <w:szCs w:val="30"/>
        </w:rPr>
        <w:t>标准。</w:t>
      </w:r>
    </w:p>
    <w:p w14:paraId="7F96BA92" w14:textId="77777777" w:rsidR="0056070C" w:rsidRDefault="00BB5E36">
      <w:pPr>
        <w:spacing w:line="480" w:lineRule="exact"/>
        <w:ind w:firstLineChars="200" w:firstLine="600"/>
        <w:rPr>
          <w:rFonts w:ascii="仿宋_GB2312" w:eastAsia="仿宋_GB2312" w:hAnsi="Times New Roman" w:cs="Times New Roman"/>
          <w:bCs/>
          <w:sz w:val="28"/>
          <w:szCs w:val="28"/>
        </w:rPr>
      </w:pP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商业银行应在资产类别划分的基础上，制定抵消组合划分标准，并将各类资产类别的衍生工具划分至抵消组合。资产类别和抵消组合划分方式如下表。</w:t>
      </w:r>
    </w:p>
    <w:p w14:paraId="54806514" w14:textId="77777777" w:rsidR="0056070C" w:rsidRDefault="00BB5E36">
      <w:pPr>
        <w:widowControl/>
        <w:spacing w:line="480" w:lineRule="exact"/>
        <w:ind w:firstLineChars="200" w:firstLine="562"/>
        <w:jc w:val="center"/>
        <w:rPr>
          <w:rFonts w:ascii="楷体_GB2312" w:eastAsia="楷体_GB2312" w:hAnsi="Times New Roman" w:cs="Times New Roman"/>
          <w:b/>
          <w:sz w:val="28"/>
          <w:szCs w:val="28"/>
        </w:rPr>
      </w:pPr>
      <w:r>
        <w:rPr>
          <w:rFonts w:ascii="楷体_GB2312" w:eastAsia="楷体_GB2312" w:hAnsi="Times New Roman" w:cs="Times New Roman"/>
          <w:b/>
          <w:sz w:val="28"/>
          <w:szCs w:val="28"/>
        </w:rPr>
        <w:t>表</w:t>
      </w:r>
      <w:r>
        <w:rPr>
          <w:rFonts w:ascii="楷体_GB2312" w:eastAsia="楷体_GB2312" w:hAnsi="Times New Roman" w:cs="Times New Roman" w:hint="eastAsia"/>
          <w:b/>
          <w:sz w:val="28"/>
          <w:szCs w:val="28"/>
        </w:rPr>
        <w:t>1</w:t>
      </w:r>
      <w:r>
        <w:rPr>
          <w:rFonts w:ascii="楷体_GB2312" w:eastAsia="楷体_GB2312" w:hAnsi="Times New Roman" w:cs="Times New Roman"/>
          <w:b/>
          <w:sz w:val="28"/>
          <w:szCs w:val="28"/>
        </w:rPr>
        <w:t xml:space="preserve"> </w:t>
      </w:r>
      <w:r>
        <w:rPr>
          <w:rFonts w:ascii="楷体_GB2312" w:eastAsia="楷体_GB2312" w:hAnsi="Times New Roman" w:cs="Times New Roman"/>
          <w:b/>
          <w:sz w:val="28"/>
          <w:szCs w:val="28"/>
        </w:rPr>
        <w:t>资产类别和抵消组合划分方式</w:t>
      </w:r>
    </w:p>
    <w:tbl>
      <w:tblPr>
        <w:tblStyle w:val="af1"/>
        <w:tblW w:w="7996" w:type="dxa"/>
        <w:tblLayout w:type="fixed"/>
        <w:tblLook w:val="04A0" w:firstRow="1" w:lastRow="0" w:firstColumn="1" w:lastColumn="0" w:noHBand="0" w:noVBand="1"/>
      </w:tblPr>
      <w:tblGrid>
        <w:gridCol w:w="2578"/>
        <w:gridCol w:w="5418"/>
      </w:tblGrid>
      <w:tr w:rsidR="0056070C" w14:paraId="28078945" w14:textId="77777777">
        <w:tc>
          <w:tcPr>
            <w:tcW w:w="2578" w:type="dxa"/>
            <w:vAlign w:val="center"/>
          </w:tcPr>
          <w:p w14:paraId="5CB29BC9" w14:textId="77777777" w:rsidR="0056070C" w:rsidRDefault="00BB5E36">
            <w:pPr>
              <w:jc w:val="center"/>
              <w:rPr>
                <w:rFonts w:ascii="宋体" w:eastAsia="宋体" w:hAnsi="宋体" w:cs="Times New Roman"/>
                <w:b/>
                <w:bCs/>
                <w:sz w:val="24"/>
                <w:szCs w:val="24"/>
              </w:rPr>
            </w:pPr>
            <w:r>
              <w:rPr>
                <w:rFonts w:ascii="宋体" w:eastAsia="宋体" w:hAnsi="宋体" w:cs="Times New Roman"/>
                <w:b/>
                <w:bCs/>
                <w:sz w:val="24"/>
                <w:szCs w:val="24"/>
              </w:rPr>
              <w:t>资产类别</w:t>
            </w:r>
          </w:p>
        </w:tc>
        <w:tc>
          <w:tcPr>
            <w:tcW w:w="5418" w:type="dxa"/>
            <w:vAlign w:val="center"/>
          </w:tcPr>
          <w:p w14:paraId="4B0F60F6" w14:textId="77777777" w:rsidR="0056070C" w:rsidRDefault="00BB5E36">
            <w:pPr>
              <w:jc w:val="center"/>
              <w:rPr>
                <w:rFonts w:ascii="宋体" w:eastAsia="宋体" w:hAnsi="宋体" w:cs="Times New Roman"/>
                <w:b/>
                <w:bCs/>
                <w:sz w:val="24"/>
                <w:szCs w:val="24"/>
              </w:rPr>
            </w:pPr>
            <w:r>
              <w:rPr>
                <w:rFonts w:ascii="宋体" w:eastAsia="宋体" w:hAnsi="宋体" w:cs="Times New Roman"/>
                <w:b/>
                <w:bCs/>
                <w:sz w:val="24"/>
                <w:szCs w:val="24"/>
              </w:rPr>
              <w:t>抵消组合</w:t>
            </w:r>
          </w:p>
        </w:tc>
      </w:tr>
      <w:tr w:rsidR="0056070C" w14:paraId="43B151EC" w14:textId="77777777">
        <w:tc>
          <w:tcPr>
            <w:tcW w:w="2578" w:type="dxa"/>
            <w:vAlign w:val="center"/>
          </w:tcPr>
          <w:p w14:paraId="4429F5FB" w14:textId="77777777" w:rsidR="0056070C" w:rsidRDefault="00BB5E36">
            <w:pPr>
              <w:jc w:val="center"/>
              <w:rPr>
                <w:rFonts w:ascii="宋体" w:eastAsia="宋体" w:hAnsi="宋体" w:cs="Times New Roman"/>
                <w:sz w:val="24"/>
                <w:szCs w:val="24"/>
              </w:rPr>
            </w:pPr>
            <w:r>
              <w:rPr>
                <w:rFonts w:ascii="宋体" w:eastAsia="宋体" w:hAnsi="宋体" w:cs="Times New Roman"/>
                <w:sz w:val="24"/>
                <w:szCs w:val="24"/>
              </w:rPr>
              <w:t>利率类工具</w:t>
            </w:r>
          </w:p>
        </w:tc>
        <w:tc>
          <w:tcPr>
            <w:tcW w:w="5418" w:type="dxa"/>
            <w:vAlign w:val="center"/>
          </w:tcPr>
          <w:p w14:paraId="18CE76D4" w14:textId="77777777" w:rsidR="0056070C" w:rsidRDefault="00BB5E36">
            <w:pPr>
              <w:jc w:val="center"/>
              <w:rPr>
                <w:rFonts w:ascii="宋体" w:eastAsia="宋体" w:hAnsi="宋体" w:cs="Times New Roman"/>
                <w:sz w:val="24"/>
                <w:szCs w:val="24"/>
              </w:rPr>
            </w:pPr>
            <w:r>
              <w:rPr>
                <w:rFonts w:ascii="宋体" w:eastAsia="宋体" w:hAnsi="宋体" w:cs="Times New Roman"/>
                <w:sz w:val="24"/>
                <w:szCs w:val="24"/>
              </w:rPr>
              <w:t>同一币种的交易</w:t>
            </w:r>
          </w:p>
        </w:tc>
      </w:tr>
      <w:tr w:rsidR="0056070C" w14:paraId="1CE13FB2" w14:textId="77777777">
        <w:tc>
          <w:tcPr>
            <w:tcW w:w="2578" w:type="dxa"/>
            <w:vAlign w:val="center"/>
          </w:tcPr>
          <w:p w14:paraId="04A09957" w14:textId="77777777" w:rsidR="0056070C" w:rsidRDefault="00BB5E36">
            <w:pPr>
              <w:jc w:val="center"/>
              <w:rPr>
                <w:rFonts w:ascii="宋体" w:eastAsia="宋体" w:hAnsi="宋体" w:cs="Times New Roman"/>
                <w:sz w:val="24"/>
                <w:szCs w:val="24"/>
              </w:rPr>
            </w:pPr>
            <w:r>
              <w:rPr>
                <w:rFonts w:ascii="宋体" w:eastAsia="宋体" w:hAnsi="宋体" w:cs="Times New Roman" w:hint="eastAsia"/>
                <w:sz w:val="24"/>
                <w:szCs w:val="24"/>
              </w:rPr>
              <w:t>汇率</w:t>
            </w:r>
            <w:r>
              <w:rPr>
                <w:rFonts w:ascii="宋体" w:eastAsia="宋体" w:hAnsi="宋体" w:cs="Times New Roman"/>
                <w:sz w:val="24"/>
                <w:szCs w:val="24"/>
              </w:rPr>
              <w:t>类工具</w:t>
            </w:r>
          </w:p>
        </w:tc>
        <w:tc>
          <w:tcPr>
            <w:tcW w:w="5418" w:type="dxa"/>
            <w:vAlign w:val="center"/>
          </w:tcPr>
          <w:p w14:paraId="2027407A" w14:textId="77777777" w:rsidR="0056070C" w:rsidRDefault="00BB5E36">
            <w:pPr>
              <w:jc w:val="center"/>
              <w:rPr>
                <w:rFonts w:ascii="宋体" w:eastAsia="宋体" w:hAnsi="宋体" w:cs="Times New Roman"/>
                <w:sz w:val="24"/>
                <w:szCs w:val="24"/>
              </w:rPr>
            </w:pPr>
            <w:r>
              <w:rPr>
                <w:rFonts w:ascii="宋体" w:eastAsia="宋体" w:hAnsi="宋体" w:cs="Times New Roman"/>
                <w:sz w:val="24"/>
                <w:szCs w:val="24"/>
              </w:rPr>
              <w:t>同一货币对的交易</w:t>
            </w:r>
          </w:p>
        </w:tc>
      </w:tr>
      <w:tr w:rsidR="0056070C" w14:paraId="61EF1120" w14:textId="77777777">
        <w:tc>
          <w:tcPr>
            <w:tcW w:w="2578" w:type="dxa"/>
            <w:vAlign w:val="center"/>
          </w:tcPr>
          <w:p w14:paraId="08554C0F" w14:textId="77777777" w:rsidR="0056070C" w:rsidRDefault="00BB5E36">
            <w:pPr>
              <w:jc w:val="center"/>
              <w:rPr>
                <w:rFonts w:ascii="宋体" w:eastAsia="宋体" w:hAnsi="宋体" w:cs="Times New Roman"/>
                <w:sz w:val="24"/>
                <w:szCs w:val="24"/>
              </w:rPr>
            </w:pPr>
            <w:r>
              <w:rPr>
                <w:rFonts w:ascii="宋体" w:eastAsia="宋体" w:hAnsi="宋体" w:cs="Times New Roman"/>
                <w:sz w:val="24"/>
                <w:szCs w:val="24"/>
              </w:rPr>
              <w:t>信用类工具</w:t>
            </w:r>
          </w:p>
        </w:tc>
        <w:tc>
          <w:tcPr>
            <w:tcW w:w="5418" w:type="dxa"/>
            <w:vAlign w:val="center"/>
          </w:tcPr>
          <w:p w14:paraId="4B539E5C" w14:textId="77777777" w:rsidR="0056070C" w:rsidRDefault="00BB5E36">
            <w:pPr>
              <w:jc w:val="center"/>
              <w:rPr>
                <w:rFonts w:ascii="宋体" w:eastAsia="宋体" w:hAnsi="宋体" w:cs="Times New Roman"/>
                <w:sz w:val="24"/>
                <w:szCs w:val="24"/>
              </w:rPr>
            </w:pPr>
            <w:r>
              <w:rPr>
                <w:rFonts w:ascii="宋体" w:eastAsia="宋体" w:hAnsi="宋体" w:cs="Times New Roman"/>
                <w:sz w:val="24"/>
                <w:szCs w:val="24"/>
              </w:rPr>
              <w:t>同一参考实体（单一实体或指数）</w:t>
            </w:r>
          </w:p>
        </w:tc>
      </w:tr>
      <w:tr w:rsidR="0056070C" w14:paraId="1F9AA734" w14:textId="77777777">
        <w:tc>
          <w:tcPr>
            <w:tcW w:w="2578" w:type="dxa"/>
            <w:vAlign w:val="center"/>
          </w:tcPr>
          <w:p w14:paraId="2B70F36F" w14:textId="77777777" w:rsidR="0056070C" w:rsidRDefault="00BB5E36">
            <w:pPr>
              <w:jc w:val="center"/>
              <w:rPr>
                <w:rFonts w:ascii="宋体" w:eastAsia="宋体" w:hAnsi="宋体" w:cs="Times New Roman"/>
                <w:sz w:val="24"/>
                <w:szCs w:val="24"/>
              </w:rPr>
            </w:pPr>
            <w:r>
              <w:rPr>
                <w:rFonts w:ascii="宋体" w:eastAsia="宋体" w:hAnsi="宋体" w:cs="Times New Roman"/>
                <w:sz w:val="24"/>
                <w:szCs w:val="24"/>
              </w:rPr>
              <w:t>股票类工具</w:t>
            </w:r>
          </w:p>
        </w:tc>
        <w:tc>
          <w:tcPr>
            <w:tcW w:w="5418" w:type="dxa"/>
            <w:vAlign w:val="center"/>
          </w:tcPr>
          <w:p w14:paraId="2737B800" w14:textId="77777777" w:rsidR="0056070C" w:rsidRDefault="00BB5E36">
            <w:pPr>
              <w:jc w:val="center"/>
              <w:rPr>
                <w:rFonts w:ascii="宋体" w:eastAsia="宋体" w:hAnsi="宋体" w:cs="Times New Roman"/>
                <w:sz w:val="24"/>
                <w:szCs w:val="24"/>
              </w:rPr>
            </w:pPr>
            <w:r>
              <w:rPr>
                <w:rFonts w:ascii="宋体" w:eastAsia="宋体" w:hAnsi="宋体" w:cs="Times New Roman"/>
                <w:sz w:val="24"/>
                <w:szCs w:val="24"/>
              </w:rPr>
              <w:t>同一参考实体（单一实体或指数）</w:t>
            </w:r>
          </w:p>
        </w:tc>
      </w:tr>
      <w:tr w:rsidR="0056070C" w14:paraId="23033002" w14:textId="77777777">
        <w:tc>
          <w:tcPr>
            <w:tcW w:w="2578" w:type="dxa"/>
            <w:vAlign w:val="center"/>
          </w:tcPr>
          <w:p w14:paraId="0B0D2925" w14:textId="77777777" w:rsidR="0056070C" w:rsidRDefault="00BB5E36">
            <w:pPr>
              <w:jc w:val="center"/>
              <w:rPr>
                <w:rFonts w:ascii="宋体" w:eastAsia="宋体" w:hAnsi="宋体" w:cs="Times New Roman"/>
                <w:sz w:val="24"/>
                <w:szCs w:val="24"/>
              </w:rPr>
            </w:pPr>
            <w:r>
              <w:rPr>
                <w:rFonts w:ascii="宋体" w:eastAsia="宋体" w:hAnsi="宋体" w:cs="Times New Roman"/>
                <w:sz w:val="24"/>
                <w:szCs w:val="24"/>
              </w:rPr>
              <w:t>商品类工具</w:t>
            </w:r>
          </w:p>
        </w:tc>
        <w:tc>
          <w:tcPr>
            <w:tcW w:w="5418" w:type="dxa"/>
            <w:vAlign w:val="center"/>
          </w:tcPr>
          <w:p w14:paraId="12F02D36" w14:textId="77777777" w:rsidR="0056070C" w:rsidRDefault="00BB5E36">
            <w:pPr>
              <w:jc w:val="center"/>
              <w:rPr>
                <w:rFonts w:ascii="宋体" w:eastAsia="宋体" w:hAnsi="宋体" w:cs="Times New Roman"/>
                <w:sz w:val="24"/>
                <w:szCs w:val="24"/>
              </w:rPr>
            </w:pPr>
            <w:r>
              <w:rPr>
                <w:rFonts w:ascii="宋体" w:eastAsia="宋体" w:hAnsi="宋体" w:cs="Times New Roman"/>
                <w:sz w:val="24"/>
                <w:szCs w:val="24"/>
              </w:rPr>
              <w:t>四大类商品：能源（包括电力、油、气）、金属、农产品、其他</w:t>
            </w:r>
          </w:p>
        </w:tc>
      </w:tr>
    </w:tbl>
    <w:p w14:paraId="4C5589D4"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商业银行应区分保证金衍生工具交易和无保证金衍生工具交易。对于同一净额结算组合，保证金衍生工具交易的违约风险暴露以无保证金衍生工具交易的违约风险暴露为上限。</w:t>
      </w:r>
    </w:p>
    <w:p w14:paraId="08956056"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对保证金衍生工具交易，商业银行应与交易对手签订保证金和押品收付协议。其中，商业银行承担支付单向变动保证金或押品义务的交易应认定为无保证金交易。</w:t>
      </w:r>
    </w:p>
    <w:p w14:paraId="659D804F"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（六）违约风险暴露标准法</w:t>
      </w:r>
    </w:p>
    <w:p w14:paraId="665031F6"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违约风险暴露的计算公式如下：</w:t>
      </w:r>
    </w:p>
    <w:p w14:paraId="2D998D59" w14:textId="77777777" w:rsidR="0056070C" w:rsidRDefault="00BB5E36">
      <w:pPr>
        <w:spacing w:beforeLines="50" w:before="156" w:line="600" w:lineRule="exact"/>
        <w:ind w:firstLineChars="200" w:firstLine="600"/>
        <w:jc w:val="center"/>
        <w:rPr>
          <w:rFonts w:ascii="仿宋_GB2312" w:eastAsia="仿宋_GB2312" w:hAnsi="Times New Roman" w:cs="Times New Roman"/>
          <w:kern w:val="0"/>
          <w:sz w:val="30"/>
          <w:szCs w:val="30"/>
        </w:rPr>
      </w:pPr>
      <w:r>
        <w:rPr>
          <w:rFonts w:ascii="仿宋_GB2312" w:eastAsia="仿宋_GB2312" w:hAnsi="Times New Roman" w:cs="Times New Roman"/>
          <w:noProof/>
          <w:kern w:val="0"/>
          <w:sz w:val="30"/>
          <w:szCs w:val="30"/>
        </w:rPr>
        <w:drawing>
          <wp:inline distT="0" distB="0" distL="114300" distR="114300" wp14:anchorId="5326A0F4" wp14:editId="0BF99666">
            <wp:extent cx="1965960" cy="23622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1965960" cy="236220"/>
                    </a:xfrm>
                    <a:prstGeom prst="rect">
                      <a:avLst/>
                    </a:prstGeom>
                    <a:noFill/>
                    <a:ln>
                      <a:noFill/>
                    </a:ln>
                  </pic:spPr>
                </pic:pic>
              </a:graphicData>
            </a:graphic>
          </wp:inline>
        </w:drawing>
      </w:r>
    </w:p>
    <w:p w14:paraId="76D06725"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其中：</w:t>
      </w:r>
    </w:p>
    <w:p w14:paraId="3411F226"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RC</w:t>
      </w:r>
      <w:r>
        <w:rPr>
          <w:rFonts w:ascii="仿宋_GB2312" w:eastAsia="仿宋_GB2312" w:hAnsi="Times New Roman" w:cs="Times New Roman" w:hint="eastAsia"/>
          <w:bCs/>
          <w:sz w:val="30"/>
          <w:szCs w:val="30"/>
        </w:rPr>
        <w:t>为重置成本，代表当前风险暴露。</w:t>
      </w:r>
    </w:p>
    <w:p w14:paraId="2F837173"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PFE</w:t>
      </w:r>
      <w:r>
        <w:rPr>
          <w:rFonts w:ascii="仿宋_GB2312" w:eastAsia="仿宋_GB2312" w:hAnsi="Times New Roman" w:cs="Times New Roman" w:hint="eastAsia"/>
          <w:bCs/>
          <w:sz w:val="30"/>
          <w:szCs w:val="30"/>
        </w:rPr>
        <w:t>为潜在风险暴露。</w:t>
      </w:r>
    </w:p>
    <w:p w14:paraId="60A413DB"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重置成本的计算方法</w:t>
      </w:r>
    </w:p>
    <w:p w14:paraId="119A928D"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）对于无保证金交易，重置成本计算公式如下：</w:t>
      </w:r>
    </w:p>
    <w:p w14:paraId="71F4E477" w14:textId="77777777" w:rsidR="0056070C" w:rsidRDefault="00BB5E36">
      <w:pPr>
        <w:spacing w:line="480" w:lineRule="exact"/>
        <w:ind w:firstLineChars="200" w:firstLine="600"/>
        <w:rPr>
          <w:rFonts w:ascii="仿宋_GB2312" w:eastAsia="仿宋_GB2312" w:hAnsi="Times New Roman" w:cs="Times New Roman"/>
          <w:bCs/>
          <w:sz w:val="30"/>
          <w:szCs w:val="30"/>
        </w:rPr>
      </w:pPr>
      <m:oMathPara>
        <m:oMath>
          <m:r>
            <w:rPr>
              <w:rFonts w:ascii="Cambria Math" w:eastAsia="仿宋_GB2312" w:hAnsi="Cambria Math" w:cs="Times New Roman"/>
              <w:sz w:val="30"/>
              <w:szCs w:val="30"/>
            </w:rPr>
            <w:lastRenderedPageBreak/>
            <m:t>RC</m:t>
          </m:r>
          <m:r>
            <w:rPr>
              <w:rFonts w:ascii="Cambria Math" w:eastAsia="仿宋_GB2312" w:hAnsi="Cambria Math" w:cs="Times New Roman"/>
              <w:sz w:val="30"/>
              <w:szCs w:val="30"/>
            </w:rPr>
            <m:t>=</m:t>
          </m:r>
          <m:r>
            <m:rPr>
              <m:sty m:val="p"/>
            </m:rPr>
            <w:rPr>
              <w:rFonts w:ascii="Cambria Math" w:eastAsia="仿宋_GB2312" w:hAnsi="Cambria Math" w:cs="Times New Roman"/>
              <w:sz w:val="30"/>
              <w:szCs w:val="30"/>
            </w:rPr>
            <m:t>max⁡</m:t>
          </m:r>
          <m:r>
            <w:rPr>
              <w:rFonts w:ascii="Cambria Math" w:eastAsia="仿宋_GB2312" w:hAnsi="Cambria Math" w:cs="Times New Roman"/>
              <w:sz w:val="30"/>
              <w:szCs w:val="30"/>
            </w:rPr>
            <m:t>{</m:t>
          </m:r>
          <m:r>
            <w:rPr>
              <w:rFonts w:ascii="Cambria Math" w:eastAsia="仿宋_GB2312" w:hAnsi="Cambria Math" w:cs="Times New Roman"/>
              <w:sz w:val="30"/>
              <w:szCs w:val="30"/>
            </w:rPr>
            <m:t>V</m:t>
          </m:r>
          <m:r>
            <w:rPr>
              <w:rFonts w:ascii="Cambria Math" w:eastAsia="仿宋_GB2312" w:hAnsi="Cambria Math" w:cs="Times New Roman"/>
              <w:sz w:val="30"/>
              <w:szCs w:val="30"/>
            </w:rPr>
            <m:t>-</m:t>
          </m:r>
          <m:r>
            <w:rPr>
              <w:rFonts w:ascii="Cambria Math" w:eastAsia="仿宋_GB2312" w:hAnsi="Cambria Math" w:cs="Times New Roman"/>
              <w:sz w:val="30"/>
              <w:szCs w:val="30"/>
            </w:rPr>
            <m:t>C</m:t>
          </m:r>
          <m:r>
            <w:rPr>
              <w:rFonts w:ascii="Cambria Math" w:eastAsia="仿宋_GB2312" w:hAnsi="Cambria Math" w:cs="Times New Roman"/>
              <w:sz w:val="30"/>
              <w:szCs w:val="30"/>
            </w:rPr>
            <m:t>,0}</m:t>
          </m:r>
        </m:oMath>
      </m:oMathPara>
    </w:p>
    <w:p w14:paraId="5AEDA0BD"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其中：</w:t>
      </w:r>
    </w:p>
    <w:p w14:paraId="693C6812" w14:textId="77777777" w:rsidR="0056070C" w:rsidRDefault="00BB5E36">
      <w:pPr>
        <w:spacing w:line="480" w:lineRule="exact"/>
        <w:ind w:firstLineChars="200" w:firstLine="600"/>
        <w:rPr>
          <w:rFonts w:ascii="仿宋_GB2312" w:eastAsia="仿宋_GB2312" w:hAnsi="Times New Roman" w:cs="Times New Roman"/>
          <w:bCs/>
          <w:sz w:val="30"/>
          <w:szCs w:val="30"/>
        </w:rPr>
      </w:pPr>
      <w:proofErr w:type="spellStart"/>
      <w:r>
        <w:rPr>
          <w:rFonts w:ascii="仿宋_GB2312" w:eastAsia="仿宋_GB2312" w:hAnsi="Times New Roman" w:cs="Times New Roman"/>
          <w:bCs/>
          <w:sz w:val="30"/>
          <w:szCs w:val="30"/>
        </w:rPr>
        <w:t>a.V</w:t>
      </w:r>
      <w:proofErr w:type="spellEnd"/>
      <w:r>
        <w:rPr>
          <w:rFonts w:ascii="仿宋_GB2312" w:eastAsia="仿宋_GB2312" w:hAnsi="Times New Roman" w:cs="Times New Roman"/>
          <w:bCs/>
          <w:sz w:val="30"/>
          <w:szCs w:val="30"/>
        </w:rPr>
        <w:t>为净额结算组合衍生工具的盯市价值。</w:t>
      </w:r>
    </w:p>
    <w:p w14:paraId="4D716C94" w14:textId="77777777" w:rsidR="0056070C" w:rsidRDefault="00BB5E36">
      <w:pPr>
        <w:spacing w:line="480" w:lineRule="exact"/>
        <w:ind w:firstLineChars="200" w:firstLine="600"/>
        <w:rPr>
          <w:rFonts w:ascii="仿宋_GB2312" w:eastAsia="仿宋_GB2312" w:hAnsi="Times New Roman" w:cs="Times New Roman"/>
          <w:bCs/>
          <w:sz w:val="30"/>
          <w:szCs w:val="30"/>
        </w:rPr>
      </w:pPr>
      <w:proofErr w:type="spellStart"/>
      <w:r>
        <w:rPr>
          <w:rFonts w:ascii="仿宋_GB2312" w:eastAsia="仿宋_GB2312" w:hAnsi="Times New Roman" w:cs="Times New Roman"/>
          <w:bCs/>
          <w:sz w:val="30"/>
          <w:szCs w:val="30"/>
        </w:rPr>
        <w:t>b.</w:t>
      </w:r>
      <w:r>
        <w:rPr>
          <w:rFonts w:ascii="仿宋_GB2312" w:eastAsia="仿宋_GB2312" w:hAnsi="Times New Roman" w:cs="Times New Roman" w:hint="eastAsia"/>
          <w:bCs/>
          <w:sz w:val="30"/>
          <w:szCs w:val="30"/>
        </w:rPr>
        <w:t>C</w:t>
      </w:r>
      <w:proofErr w:type="spellEnd"/>
      <w:r>
        <w:rPr>
          <w:rFonts w:ascii="仿宋_GB2312" w:eastAsia="仿宋_GB2312" w:hAnsi="Times New Roman" w:cs="Times New Roman" w:hint="eastAsia"/>
          <w:bCs/>
          <w:sz w:val="30"/>
          <w:szCs w:val="30"/>
        </w:rPr>
        <w:t>为银行持有的抵质押品净额（收到的抵质押品扣除提交的抵质押品）经折扣调整后的价值，包括银行承担单向支付义务的变动保证金，并以负数参与计算；不包括银行向独立的破产隔离账户提交的抵质押品。合格抵质押品折扣率见本办法附件</w:t>
      </w:r>
      <w:r>
        <w:rPr>
          <w:rFonts w:ascii="仿宋_GB2312" w:eastAsia="仿宋_GB2312" w:hAnsi="Times New Roman" w:cs="Times New Roman" w:hint="eastAsia"/>
          <w:bCs/>
          <w:sz w:val="30"/>
          <w:szCs w:val="30"/>
        </w:rPr>
        <w:t>7</w:t>
      </w:r>
      <w:r>
        <w:rPr>
          <w:rFonts w:ascii="仿宋_GB2312" w:eastAsia="仿宋_GB2312" w:hAnsi="Times New Roman" w:cs="Times New Roman" w:hint="eastAsia"/>
          <w:bCs/>
          <w:sz w:val="30"/>
          <w:szCs w:val="30"/>
        </w:rPr>
        <w:t>第二、第六和第七部分。以破产隔离方式持有的定义见本办法附件</w:t>
      </w:r>
      <w:r>
        <w:rPr>
          <w:rFonts w:ascii="仿宋_GB2312" w:eastAsia="仿宋_GB2312" w:hAnsi="Times New Roman" w:cs="Times New Roman" w:hint="eastAsia"/>
          <w:bCs/>
          <w:sz w:val="30"/>
          <w:szCs w:val="30"/>
        </w:rPr>
        <w:t>10</w:t>
      </w:r>
      <w:r>
        <w:rPr>
          <w:rFonts w:ascii="仿宋_GB2312" w:eastAsia="仿宋_GB2312" w:hAnsi="Times New Roman" w:cs="Times New Roman" w:hint="eastAsia"/>
          <w:bCs/>
          <w:sz w:val="30"/>
          <w:szCs w:val="30"/>
        </w:rPr>
        <w:t>第二部分。</w:t>
      </w:r>
    </w:p>
    <w:p w14:paraId="135F5524"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）对于保证金交易，重置成本计算公式如下：</w:t>
      </w:r>
    </w:p>
    <w:p w14:paraId="4B5204B8" w14:textId="77777777" w:rsidR="0056070C" w:rsidRDefault="00BB5E36">
      <w:pPr>
        <w:spacing w:line="480" w:lineRule="exact"/>
        <w:ind w:firstLineChars="200" w:firstLine="600"/>
        <w:rPr>
          <w:rFonts w:ascii="仿宋_GB2312" w:eastAsia="仿宋_GB2312" w:hAnsi="Times New Roman" w:cs="Times New Roman"/>
          <w:bCs/>
          <w:sz w:val="30"/>
          <w:szCs w:val="30"/>
        </w:rPr>
      </w:pPr>
      <m:oMathPara>
        <m:oMath>
          <m:r>
            <w:rPr>
              <w:rFonts w:ascii="Cambria Math" w:eastAsia="仿宋_GB2312" w:hAnsi="Cambria Math" w:cs="Times New Roman"/>
              <w:sz w:val="30"/>
              <w:szCs w:val="30"/>
            </w:rPr>
            <m:t>RC</m:t>
          </m:r>
          <m:r>
            <w:rPr>
              <w:rFonts w:ascii="Cambria Math" w:eastAsia="仿宋_GB2312" w:hAnsi="Cambria Math" w:cs="Times New Roman"/>
              <w:sz w:val="30"/>
              <w:szCs w:val="30"/>
            </w:rPr>
            <m:t>=</m:t>
          </m:r>
          <m:r>
            <m:rPr>
              <m:sty m:val="p"/>
            </m:rPr>
            <w:rPr>
              <w:rFonts w:ascii="Cambria Math" w:eastAsia="仿宋_GB2312" w:hAnsi="Cambria Math" w:cs="Times New Roman"/>
              <w:sz w:val="30"/>
              <w:szCs w:val="30"/>
            </w:rPr>
            <m:t>max⁡</m:t>
          </m:r>
          <m:r>
            <w:rPr>
              <w:rFonts w:ascii="Cambria Math" w:eastAsia="仿宋_GB2312" w:hAnsi="Cambria Math" w:cs="Times New Roman"/>
              <w:sz w:val="30"/>
              <w:szCs w:val="30"/>
            </w:rPr>
            <m:t>{</m:t>
          </m:r>
          <m:r>
            <w:rPr>
              <w:rFonts w:ascii="Cambria Math" w:eastAsia="仿宋_GB2312" w:hAnsi="Cambria Math" w:cs="Times New Roman"/>
              <w:sz w:val="30"/>
              <w:szCs w:val="30"/>
            </w:rPr>
            <m:t>V</m:t>
          </m:r>
          <m:r>
            <w:rPr>
              <w:rFonts w:ascii="Cambria Math" w:eastAsia="仿宋_GB2312" w:hAnsi="Cambria Math" w:cs="Times New Roman"/>
              <w:sz w:val="30"/>
              <w:szCs w:val="30"/>
            </w:rPr>
            <m:t>-</m:t>
          </m:r>
          <m:r>
            <w:rPr>
              <w:rFonts w:ascii="Cambria Math" w:eastAsia="仿宋_GB2312" w:hAnsi="Cambria Math" w:cs="Times New Roman"/>
              <w:sz w:val="30"/>
              <w:szCs w:val="30"/>
            </w:rPr>
            <m:t>C</m:t>
          </m:r>
          <m:r>
            <w:rPr>
              <w:rFonts w:ascii="Cambria Math" w:eastAsia="仿宋_GB2312" w:hAnsi="Cambria Math" w:cs="Times New Roman"/>
              <w:sz w:val="30"/>
              <w:szCs w:val="30"/>
            </w:rPr>
            <m:t xml:space="preserve">, </m:t>
          </m:r>
          <m:r>
            <w:rPr>
              <w:rFonts w:ascii="Cambria Math" w:eastAsia="仿宋_GB2312" w:hAnsi="Cambria Math" w:cs="Times New Roman"/>
              <w:sz w:val="30"/>
              <w:szCs w:val="30"/>
            </w:rPr>
            <m:t>T</m:t>
          </m:r>
          <m:r>
            <w:rPr>
              <w:rFonts w:ascii="Cambria Math" w:eastAsia="仿宋_GB2312" w:hAnsi="Cambria Math" w:cs="Times New Roman"/>
              <w:sz w:val="30"/>
              <w:szCs w:val="30"/>
            </w:rPr>
            <m:t>H</m:t>
          </m:r>
          <m:r>
            <w:rPr>
              <w:rFonts w:ascii="Cambria Math" w:eastAsia="仿宋_GB2312" w:hAnsi="Cambria Math" w:cs="Times New Roman"/>
              <w:sz w:val="30"/>
              <w:szCs w:val="30"/>
            </w:rPr>
            <m:t>+</m:t>
          </m:r>
          <m:r>
            <w:rPr>
              <w:rFonts w:ascii="Cambria Math" w:eastAsia="仿宋_GB2312" w:hAnsi="Cambria Math" w:cs="Times New Roman"/>
              <w:sz w:val="30"/>
              <w:szCs w:val="30"/>
            </w:rPr>
            <m:t>MTA</m:t>
          </m:r>
          <m:r>
            <w:rPr>
              <w:rFonts w:ascii="Cambria Math" w:eastAsia="仿宋_GB2312" w:hAnsi="Cambria Math" w:cs="Times New Roman"/>
              <w:sz w:val="30"/>
              <w:szCs w:val="30"/>
            </w:rPr>
            <m:t>-</m:t>
          </m:r>
          <m:r>
            <w:rPr>
              <w:rFonts w:ascii="Cambria Math" w:eastAsia="仿宋_GB2312" w:hAnsi="Cambria Math" w:cs="Times New Roman"/>
              <w:sz w:val="30"/>
              <w:szCs w:val="30"/>
            </w:rPr>
            <m:t>NICA</m:t>
          </m:r>
          <m:r>
            <w:rPr>
              <w:rFonts w:ascii="Cambria Math" w:eastAsia="仿宋_GB2312" w:hAnsi="Cambria Math" w:cs="Times New Roman"/>
              <w:sz w:val="30"/>
              <w:szCs w:val="30"/>
            </w:rPr>
            <m:t>, 0}</m:t>
          </m:r>
        </m:oMath>
      </m:oMathPara>
    </w:p>
    <w:p w14:paraId="248BDAFD"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其中：</w:t>
      </w:r>
    </w:p>
    <w:p w14:paraId="245CF514" w14:textId="77777777" w:rsidR="0056070C" w:rsidRDefault="00BB5E36">
      <w:pPr>
        <w:widowControl/>
        <w:ind w:firstLineChars="200" w:firstLine="600"/>
        <w:jc w:val="left"/>
        <w:rPr>
          <w:rFonts w:ascii="仿宋_GB2312" w:eastAsia="仿宋_GB2312" w:hAnsi="Times New Roman" w:cs="Times New Roman"/>
          <w:bCs/>
          <w:color w:val="FF0000"/>
          <w:sz w:val="30"/>
          <w:szCs w:val="30"/>
        </w:rPr>
      </w:pPr>
      <w:proofErr w:type="spellStart"/>
      <w:r>
        <w:rPr>
          <w:rFonts w:ascii="仿宋_GB2312" w:eastAsia="仿宋_GB2312" w:hAnsi="Times New Roman" w:cs="Times New Roman"/>
          <w:bCs/>
          <w:sz w:val="30"/>
          <w:szCs w:val="30"/>
        </w:rPr>
        <w:t>a.</w:t>
      </w:r>
      <w:r>
        <w:rPr>
          <w:rFonts w:ascii="仿宋_GB2312" w:eastAsia="仿宋_GB2312" w:hAnsi="Times New Roman" w:cs="Times New Roman" w:hint="eastAsia"/>
          <w:bCs/>
          <w:sz w:val="30"/>
          <w:szCs w:val="30"/>
        </w:rPr>
        <w:t>V</w:t>
      </w:r>
      <w:proofErr w:type="spellEnd"/>
      <w:r>
        <w:rPr>
          <w:rFonts w:ascii="仿宋_GB2312" w:eastAsia="仿宋_GB2312" w:hAnsi="Times New Roman" w:cs="Times New Roman" w:hint="eastAsia"/>
          <w:bCs/>
          <w:sz w:val="30"/>
          <w:szCs w:val="30"/>
        </w:rPr>
        <w:t>的定义与无保证金交易相同。</w:t>
      </w:r>
    </w:p>
    <w:p w14:paraId="1D32B997" w14:textId="77777777" w:rsidR="0056070C" w:rsidRDefault="00BB5E36">
      <w:pPr>
        <w:spacing w:line="480" w:lineRule="exact"/>
        <w:ind w:firstLineChars="200" w:firstLine="600"/>
        <w:rPr>
          <w:rFonts w:ascii="仿宋_GB2312" w:eastAsia="仿宋_GB2312" w:hAnsi="Times New Roman" w:cs="Times New Roman"/>
          <w:bCs/>
          <w:sz w:val="30"/>
          <w:szCs w:val="30"/>
        </w:rPr>
      </w:pPr>
      <w:proofErr w:type="spellStart"/>
      <w:r>
        <w:rPr>
          <w:rFonts w:ascii="仿宋_GB2312" w:eastAsia="仿宋_GB2312" w:hAnsi="Times New Roman" w:cs="Times New Roman"/>
          <w:bCs/>
          <w:sz w:val="30"/>
          <w:szCs w:val="30"/>
        </w:rPr>
        <w:t>b.C</w:t>
      </w:r>
      <w:proofErr w:type="spellEnd"/>
      <w:r>
        <w:rPr>
          <w:rFonts w:ascii="仿宋_GB2312" w:eastAsia="仿宋_GB2312" w:hAnsi="Times New Roman" w:cs="Times New Roman" w:hint="eastAsia"/>
          <w:bCs/>
          <w:sz w:val="30"/>
          <w:szCs w:val="30"/>
        </w:rPr>
        <w:t>除了包括无保证金交易中的相关要素外，还包括净变动保证金。</w:t>
      </w:r>
    </w:p>
    <w:p w14:paraId="3E06879C"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c</w:t>
      </w:r>
      <w:r>
        <w:rPr>
          <w:rFonts w:ascii="仿宋_GB2312" w:eastAsia="仿宋_GB2312" w:hAnsi="Times New Roman" w:cs="Times New Roman"/>
          <w:bCs/>
          <w:sz w:val="30"/>
          <w:szCs w:val="30"/>
        </w:rPr>
        <w:t>.</w:t>
      </w:r>
      <w:r>
        <w:rPr>
          <w:rFonts w:ascii="仿宋_GB2312" w:eastAsia="仿宋_GB2312" w:hAnsi="Times New Roman" w:cs="Times New Roman" w:hint="eastAsia"/>
          <w:bCs/>
          <w:sz w:val="30"/>
          <w:szCs w:val="30"/>
        </w:rPr>
        <w:t>TH</w:t>
      </w:r>
      <w:r>
        <w:rPr>
          <w:rFonts w:ascii="仿宋_GB2312" w:eastAsia="仿宋_GB2312" w:hAnsi="Times New Roman" w:cs="Times New Roman" w:hint="eastAsia"/>
          <w:bCs/>
          <w:sz w:val="30"/>
          <w:szCs w:val="30"/>
        </w:rPr>
        <w:t>是一个正的阈值。盯市价值超过该阈值，交易对手需向银行提交抵质押品。</w:t>
      </w:r>
    </w:p>
    <w:p w14:paraId="1B8D3687" w14:textId="77777777" w:rsidR="0056070C" w:rsidRDefault="00BB5E36">
      <w:pPr>
        <w:spacing w:line="480" w:lineRule="exact"/>
        <w:ind w:firstLineChars="200" w:firstLine="600"/>
        <w:rPr>
          <w:rFonts w:ascii="仿宋_GB2312" w:eastAsia="仿宋_GB2312" w:hAnsi="Times New Roman" w:cs="Times New Roman"/>
          <w:bCs/>
          <w:sz w:val="30"/>
          <w:szCs w:val="30"/>
        </w:rPr>
      </w:pPr>
      <w:proofErr w:type="spellStart"/>
      <w:r>
        <w:rPr>
          <w:rFonts w:ascii="仿宋_GB2312" w:eastAsia="仿宋_GB2312" w:hAnsi="Times New Roman" w:cs="Times New Roman"/>
          <w:bCs/>
          <w:sz w:val="30"/>
          <w:szCs w:val="30"/>
        </w:rPr>
        <w:t>d.</w:t>
      </w:r>
      <w:r>
        <w:rPr>
          <w:rFonts w:ascii="仿宋_GB2312" w:eastAsia="仿宋_GB2312" w:hAnsi="Times New Roman" w:cs="Times New Roman" w:hint="eastAsia"/>
          <w:bCs/>
          <w:sz w:val="30"/>
          <w:szCs w:val="30"/>
        </w:rPr>
        <w:t>MTA</w:t>
      </w:r>
      <w:proofErr w:type="spellEnd"/>
      <w:r>
        <w:rPr>
          <w:rFonts w:ascii="仿宋_GB2312" w:eastAsia="仿宋_GB2312" w:hAnsi="Times New Roman" w:cs="Times New Roman" w:hint="eastAsia"/>
          <w:bCs/>
          <w:sz w:val="30"/>
          <w:szCs w:val="30"/>
        </w:rPr>
        <w:t>为交易对手追加可变保证金最低触发值。</w:t>
      </w:r>
    </w:p>
    <w:p w14:paraId="13719E21" w14:textId="77777777" w:rsidR="0056070C" w:rsidRDefault="00BB5E36">
      <w:pPr>
        <w:spacing w:line="480" w:lineRule="exact"/>
        <w:ind w:firstLineChars="200" w:firstLine="600"/>
        <w:rPr>
          <w:rFonts w:ascii="仿宋_GB2312" w:eastAsia="仿宋_GB2312" w:hAnsi="Times New Roman" w:cs="Times New Roman"/>
          <w:bCs/>
          <w:sz w:val="30"/>
          <w:szCs w:val="30"/>
        </w:rPr>
      </w:pPr>
      <w:proofErr w:type="spellStart"/>
      <w:r>
        <w:rPr>
          <w:rFonts w:ascii="仿宋_GB2312" w:eastAsia="仿宋_GB2312" w:hAnsi="Times New Roman" w:cs="Times New Roman"/>
          <w:bCs/>
          <w:sz w:val="30"/>
          <w:szCs w:val="30"/>
        </w:rPr>
        <w:t>e.</w:t>
      </w:r>
      <w:r>
        <w:rPr>
          <w:rFonts w:ascii="仿宋_GB2312" w:eastAsia="仿宋_GB2312" w:hAnsi="Times New Roman" w:cs="Times New Roman" w:hint="eastAsia"/>
          <w:bCs/>
          <w:sz w:val="30"/>
          <w:szCs w:val="30"/>
        </w:rPr>
        <w:t>NICA</w:t>
      </w:r>
      <w:proofErr w:type="spellEnd"/>
      <w:r>
        <w:rPr>
          <w:rFonts w:ascii="仿宋_GB2312" w:eastAsia="仿宋_GB2312" w:hAnsi="Times New Roman" w:cs="Times New Roman" w:hint="eastAsia"/>
          <w:bCs/>
          <w:sz w:val="30"/>
          <w:szCs w:val="30"/>
        </w:rPr>
        <w:t>为净独立抵质押品的价值，即在交易对手违约情况下，银行可以用来抵消风险暴露的抵质押品价值。</w:t>
      </w:r>
      <w:r>
        <w:rPr>
          <w:rFonts w:ascii="仿宋_GB2312" w:eastAsia="仿宋_GB2312" w:hAnsi="Times New Roman" w:cs="Times New Roman" w:hint="eastAsia"/>
          <w:bCs/>
          <w:sz w:val="30"/>
          <w:szCs w:val="30"/>
        </w:rPr>
        <w:t>NICA</w:t>
      </w:r>
      <w:r>
        <w:rPr>
          <w:rFonts w:ascii="仿宋_GB2312" w:eastAsia="仿宋_GB2312" w:hAnsi="Times New Roman" w:cs="Times New Roman" w:hint="eastAsia"/>
          <w:bCs/>
          <w:sz w:val="30"/>
          <w:szCs w:val="30"/>
        </w:rPr>
        <w:t>包括初始保证金，不包括变动保证金，也不包括银行向独立的破产隔离账户提交的抵质押品。</w:t>
      </w:r>
    </w:p>
    <w:p w14:paraId="08CC1D9A"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TH+MTA-NICA</w:t>
      </w:r>
      <w:r>
        <w:rPr>
          <w:rFonts w:ascii="仿宋_GB2312" w:eastAsia="仿宋_GB2312" w:hAnsi="Times New Roman" w:cs="Times New Roman" w:hint="eastAsia"/>
          <w:bCs/>
          <w:sz w:val="30"/>
          <w:szCs w:val="30"/>
        </w:rPr>
        <w:t>为触发可变保证金补充之前的最大风险暴露，代表银行需保持的抵质押品水平。</w:t>
      </w:r>
    </w:p>
    <w:p w14:paraId="1998469C"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潜在风险暴露的计算方法</w:t>
      </w:r>
    </w:p>
    <w:p w14:paraId="01D981DA"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）潜在风险暴露的计算公式如下：</w:t>
      </w:r>
    </w:p>
    <w:p w14:paraId="10573DFF" w14:textId="77777777" w:rsidR="0056070C" w:rsidRDefault="00BB5E36">
      <w:pPr>
        <w:spacing w:beforeLines="50" w:before="156" w:line="600" w:lineRule="exact"/>
        <w:ind w:firstLineChars="200" w:firstLine="600"/>
        <w:jc w:val="center"/>
        <w:rPr>
          <w:rFonts w:ascii="仿宋_GB2312" w:eastAsia="仿宋_GB2312" w:hAnsi="Times New Roman" w:cs="Times New Roman"/>
          <w:kern w:val="0"/>
          <w:sz w:val="30"/>
          <w:szCs w:val="30"/>
        </w:rPr>
      </w:pPr>
      <w:r>
        <w:rPr>
          <w:rFonts w:ascii="仿宋_GB2312" w:eastAsia="仿宋_GB2312" w:hAnsi="Times New Roman" w:cs="Times New Roman"/>
          <w:noProof/>
          <w:kern w:val="0"/>
          <w:sz w:val="30"/>
          <w:szCs w:val="30"/>
        </w:rPr>
        <w:drawing>
          <wp:inline distT="0" distB="0" distL="114300" distR="114300" wp14:anchorId="010B6DCC" wp14:editId="2E7FDB11">
            <wp:extent cx="2590800" cy="28956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7"/>
                    <a:stretch>
                      <a:fillRect/>
                    </a:stretch>
                  </pic:blipFill>
                  <pic:spPr>
                    <a:xfrm>
                      <a:off x="0" y="0"/>
                      <a:ext cx="2590800" cy="289560"/>
                    </a:xfrm>
                    <a:prstGeom prst="rect">
                      <a:avLst/>
                    </a:prstGeom>
                    <a:noFill/>
                    <a:ln>
                      <a:noFill/>
                    </a:ln>
                  </pic:spPr>
                </pic:pic>
              </a:graphicData>
            </a:graphic>
          </wp:inline>
        </w:drawing>
      </w:r>
    </w:p>
    <w:p w14:paraId="7DF22325"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其中：</w:t>
      </w:r>
    </w:p>
    <w:p w14:paraId="4D3B4C89" w14:textId="77777777" w:rsidR="0056070C" w:rsidRDefault="00BB5E36">
      <w:pPr>
        <w:spacing w:line="480" w:lineRule="exact"/>
        <w:ind w:firstLineChars="200" w:firstLine="600"/>
        <w:rPr>
          <w:rFonts w:ascii="仿宋_GB2312" w:eastAsia="仿宋_GB2312" w:hAnsi="Times New Roman" w:cs="Times New Roman"/>
          <w:bCs/>
          <w:sz w:val="30"/>
          <w:szCs w:val="30"/>
        </w:rPr>
      </w:pPr>
      <w:proofErr w:type="spellStart"/>
      <w:r>
        <w:rPr>
          <w:rFonts w:ascii="仿宋_GB2312" w:eastAsia="仿宋_GB2312" w:hAnsi="Times New Roman" w:cs="Times New Roman"/>
          <w:kern w:val="0"/>
          <w:sz w:val="30"/>
          <w:szCs w:val="30"/>
        </w:rPr>
        <w:lastRenderedPageBreak/>
        <w:t>a.</w:t>
      </w:r>
      <w:r>
        <w:rPr>
          <w:rFonts w:ascii="仿宋_GB2312" w:eastAsia="仿宋_GB2312" w:hAnsi="Times New Roman" w:cs="Times New Roman" w:hint="eastAsia"/>
          <w:kern w:val="0"/>
          <w:sz w:val="30"/>
          <w:szCs w:val="30"/>
        </w:rPr>
        <w:t>AddOn</w:t>
      </w:r>
      <w:r>
        <w:rPr>
          <w:rFonts w:ascii="仿宋_GB2312" w:eastAsia="仿宋_GB2312" w:hAnsi="Times New Roman" w:cs="Times New Roman" w:hint="eastAsia"/>
          <w:kern w:val="0"/>
          <w:sz w:val="30"/>
          <w:szCs w:val="30"/>
          <w:vertAlign w:val="superscript"/>
        </w:rPr>
        <w:t>aggregate</w:t>
      </w:r>
      <w:proofErr w:type="spellEnd"/>
      <w:r>
        <w:rPr>
          <w:rFonts w:ascii="仿宋_GB2312" w:eastAsia="仿宋_GB2312" w:hAnsi="Times New Roman" w:cs="Times New Roman" w:hint="eastAsia"/>
          <w:bCs/>
          <w:sz w:val="30"/>
          <w:szCs w:val="30"/>
        </w:rPr>
        <w:t>为净额结算组合下全部衍生工具交易的总附加暴露。</w:t>
      </w:r>
    </w:p>
    <w:p w14:paraId="76F3F49D" w14:textId="77777777" w:rsidR="0056070C" w:rsidRDefault="00BB5E36">
      <w:pPr>
        <w:spacing w:line="480" w:lineRule="exact"/>
        <w:ind w:firstLineChars="200" w:firstLine="600"/>
        <w:rPr>
          <w:rFonts w:ascii="仿宋_GB2312" w:eastAsia="仿宋_GB2312" w:hAnsi="Times New Roman" w:cs="Times New Roman"/>
          <w:bCs/>
          <w:sz w:val="30"/>
          <w:szCs w:val="30"/>
        </w:rPr>
      </w:pPr>
      <w:proofErr w:type="spellStart"/>
      <w:r>
        <w:rPr>
          <w:rFonts w:ascii="仿宋_GB2312" w:eastAsia="仿宋_GB2312" w:hAnsi="Times New Roman" w:cs="Times New Roman"/>
          <w:bCs/>
          <w:sz w:val="30"/>
          <w:szCs w:val="30"/>
        </w:rPr>
        <w:t>b.</w:t>
      </w:r>
      <w:r>
        <w:rPr>
          <w:rFonts w:ascii="仿宋_GB2312" w:eastAsia="仿宋_GB2312" w:hAnsi="Times New Roman" w:cs="Times New Roman" w:hint="eastAsia"/>
          <w:bCs/>
          <w:sz w:val="30"/>
          <w:szCs w:val="30"/>
        </w:rPr>
        <w:t>multiplier</w:t>
      </w:r>
      <w:proofErr w:type="spellEnd"/>
      <w:r>
        <w:rPr>
          <w:rFonts w:ascii="仿宋_GB2312" w:eastAsia="仿宋_GB2312" w:hAnsi="Times New Roman" w:cs="Times New Roman" w:hint="eastAsia"/>
          <w:bCs/>
          <w:sz w:val="30"/>
          <w:szCs w:val="30"/>
        </w:rPr>
        <w:t>为认可超值抵押或负盯市价值的乘数因子。</w:t>
      </w:r>
    </w:p>
    <w:p w14:paraId="07FC2ADE"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）乘数因子计算公式如下：</w:t>
      </w:r>
    </w:p>
    <w:p w14:paraId="700535A0" w14:textId="77777777" w:rsidR="0056070C" w:rsidRDefault="00BB5E36">
      <w:pPr>
        <w:spacing w:beforeLines="50" w:before="156" w:line="800" w:lineRule="exact"/>
        <w:ind w:firstLineChars="200" w:firstLine="600"/>
        <w:rPr>
          <w:rFonts w:ascii="仿宋_GB2312" w:eastAsia="仿宋_GB2312" w:hAnsi="Times New Roman" w:cs="Times New Roman"/>
          <w:position w:val="-10"/>
          <w:sz w:val="30"/>
          <w:szCs w:val="30"/>
        </w:rPr>
      </w:pPr>
      <w:r>
        <w:rPr>
          <w:rFonts w:ascii="仿宋_GB2312" w:eastAsia="仿宋_GB2312" w:hAnsi="Times New Roman" w:cs="Times New Roman"/>
          <w:noProof/>
          <w:position w:val="-10"/>
          <w:sz w:val="30"/>
          <w:szCs w:val="30"/>
        </w:rPr>
        <w:drawing>
          <wp:inline distT="0" distB="0" distL="114300" distR="114300" wp14:anchorId="7A03D83E" wp14:editId="008BA94B">
            <wp:extent cx="3840480" cy="4343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840480" cy="434340"/>
                    </a:xfrm>
                    <a:prstGeom prst="rect">
                      <a:avLst/>
                    </a:prstGeom>
                    <a:noFill/>
                    <a:ln>
                      <a:noFill/>
                    </a:ln>
                  </pic:spPr>
                </pic:pic>
              </a:graphicData>
            </a:graphic>
          </wp:inline>
        </w:drawing>
      </w:r>
    </w:p>
    <w:p w14:paraId="12E7370F"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其中：</w:t>
      </w:r>
      <w:r>
        <w:rPr>
          <w:rFonts w:ascii="仿宋_GB2312" w:eastAsia="仿宋_GB2312" w:hAnsi="Times New Roman" w:cs="Times New Roman" w:hint="eastAsia"/>
          <w:bCs/>
          <w:sz w:val="30"/>
          <w:szCs w:val="30"/>
        </w:rPr>
        <w:t>V</w:t>
      </w:r>
      <w:r>
        <w:rPr>
          <w:rFonts w:ascii="仿宋_GB2312" w:eastAsia="仿宋_GB2312" w:hAnsi="Times New Roman" w:cs="Times New Roman" w:hint="eastAsia"/>
          <w:bCs/>
          <w:sz w:val="30"/>
          <w:szCs w:val="30"/>
        </w:rPr>
        <w:t>和</w:t>
      </w:r>
      <w:r>
        <w:rPr>
          <w:rFonts w:ascii="仿宋_GB2312" w:eastAsia="仿宋_GB2312" w:hAnsi="Times New Roman" w:cs="Times New Roman" w:hint="eastAsia"/>
          <w:bCs/>
          <w:sz w:val="30"/>
          <w:szCs w:val="30"/>
        </w:rPr>
        <w:t>C</w:t>
      </w:r>
      <w:r>
        <w:rPr>
          <w:rFonts w:ascii="仿宋_GB2312" w:eastAsia="仿宋_GB2312" w:hAnsi="Times New Roman" w:cs="Times New Roman" w:hint="eastAsia"/>
          <w:bCs/>
          <w:sz w:val="30"/>
          <w:szCs w:val="30"/>
        </w:rPr>
        <w:t>的定义与本部分</w:t>
      </w: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的规定一致。</w:t>
      </w:r>
    </w:p>
    <w:p w14:paraId="4B37FEB5"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）总附加暴露的计算公式为：</w:t>
      </w:r>
    </w:p>
    <w:p w14:paraId="3E3351CD" w14:textId="77777777" w:rsidR="0056070C" w:rsidRDefault="00BB5E36">
      <w:pPr>
        <w:spacing w:beforeLines="50" w:before="156" w:line="600" w:lineRule="exact"/>
        <w:ind w:firstLineChars="200" w:firstLine="600"/>
        <w:jc w:val="center"/>
        <w:rPr>
          <w:rFonts w:ascii="仿宋_GB2312" w:eastAsia="仿宋_GB2312" w:hAnsi="Times New Roman" w:cs="Times New Roman"/>
          <w:position w:val="-28"/>
          <w:sz w:val="30"/>
          <w:szCs w:val="30"/>
        </w:rPr>
      </w:pPr>
      <w:r>
        <w:rPr>
          <w:rFonts w:ascii="仿宋_GB2312" w:eastAsia="仿宋_GB2312" w:hAnsi="Times New Roman" w:cs="Times New Roman"/>
          <w:noProof/>
          <w:position w:val="-28"/>
          <w:sz w:val="30"/>
          <w:szCs w:val="30"/>
        </w:rPr>
        <w:drawing>
          <wp:inline distT="0" distB="0" distL="114300" distR="114300" wp14:anchorId="08EA4730" wp14:editId="1EB9C4F9">
            <wp:extent cx="2156460" cy="4495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2156460" cy="449580"/>
                    </a:xfrm>
                    <a:prstGeom prst="rect">
                      <a:avLst/>
                    </a:prstGeom>
                    <a:noFill/>
                    <a:ln>
                      <a:noFill/>
                    </a:ln>
                  </pic:spPr>
                </pic:pic>
              </a:graphicData>
            </a:graphic>
          </wp:inline>
        </w:drawing>
      </w:r>
    </w:p>
    <w:p w14:paraId="51D5FC77"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其中：</w:t>
      </w:r>
      <w:proofErr w:type="spellStart"/>
      <w:r>
        <w:rPr>
          <w:rFonts w:ascii="仿宋_GB2312" w:eastAsia="仿宋_GB2312" w:hAnsi="Times New Roman" w:cs="Times New Roman" w:hint="eastAsia"/>
          <w:bCs/>
          <w:sz w:val="30"/>
          <w:szCs w:val="30"/>
        </w:rPr>
        <w:t>AddOn</w:t>
      </w:r>
      <w:proofErr w:type="spellEnd"/>
      <w:r>
        <w:rPr>
          <w:rFonts w:ascii="仿宋_GB2312" w:eastAsia="仿宋_GB2312" w:hAnsi="Times New Roman" w:cs="Times New Roman" w:hint="eastAsia"/>
          <w:bCs/>
          <w:sz w:val="30"/>
          <w:szCs w:val="30"/>
        </w:rPr>
        <w:t>表示各资产类别下所有衍生工具的附加暴露总和。</w:t>
      </w:r>
    </w:p>
    <w:p w14:paraId="194336A7" w14:textId="77777777" w:rsidR="0056070C" w:rsidRDefault="00BB5E36">
      <w:pPr>
        <w:spacing w:line="480" w:lineRule="exact"/>
        <w:ind w:firstLineChars="200" w:firstLine="600"/>
        <w:rPr>
          <w:rFonts w:ascii="仿宋_GB2312" w:eastAsia="仿宋_GB2312" w:hAnsi="Times New Roman" w:cs="Times New Roman"/>
          <w:bCs/>
          <w:sz w:val="28"/>
          <w:szCs w:val="28"/>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）商业银行计算单个资产类别的附加暴露时，应当先将该资产类别下的全部衍生工具按照不同抵消组合划分，并分别计算每个抵消组合的附加暴露。各资产类别下所有交易的附加暴露总和计算公式如下：</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237"/>
      </w:tblGrid>
      <w:tr w:rsidR="0056070C" w14:paraId="1FE2F6FE" w14:textId="77777777">
        <w:tc>
          <w:tcPr>
            <w:tcW w:w="2376" w:type="dxa"/>
            <w:tcBorders>
              <w:top w:val="single" w:sz="4" w:space="0" w:color="auto"/>
              <w:left w:val="single" w:sz="4" w:space="0" w:color="auto"/>
              <w:bottom w:val="single" w:sz="4" w:space="0" w:color="auto"/>
              <w:right w:val="single" w:sz="4" w:space="0" w:color="auto"/>
            </w:tcBorders>
            <w:vAlign w:val="center"/>
          </w:tcPr>
          <w:p w14:paraId="42945AD7" w14:textId="77777777" w:rsidR="0056070C" w:rsidRDefault="00BB5E36">
            <w:pPr>
              <w:pStyle w:val="11"/>
              <w:ind w:firstLineChars="0" w:firstLine="0"/>
              <w:jc w:val="center"/>
              <w:rPr>
                <w:rFonts w:ascii="宋体" w:hAnsi="宋体"/>
                <w:sz w:val="22"/>
                <w:szCs w:val="22"/>
              </w:rPr>
            </w:pPr>
            <w:r>
              <w:rPr>
                <w:rFonts w:ascii="宋体" w:hAnsi="宋体"/>
                <w:sz w:val="22"/>
                <w:szCs w:val="22"/>
              </w:rPr>
              <w:t>利率、</w:t>
            </w:r>
            <w:r>
              <w:rPr>
                <w:rFonts w:ascii="宋体" w:hAnsi="宋体" w:hint="eastAsia"/>
                <w:sz w:val="22"/>
                <w:szCs w:val="22"/>
              </w:rPr>
              <w:t>汇率</w:t>
            </w:r>
            <w:r>
              <w:rPr>
                <w:rFonts w:ascii="宋体" w:hAnsi="宋体"/>
                <w:sz w:val="22"/>
                <w:szCs w:val="22"/>
              </w:rPr>
              <w:t>和商品类</w:t>
            </w:r>
          </w:p>
        </w:tc>
        <w:tc>
          <w:tcPr>
            <w:tcW w:w="6237" w:type="dxa"/>
            <w:tcBorders>
              <w:top w:val="single" w:sz="4" w:space="0" w:color="auto"/>
              <w:left w:val="single" w:sz="4" w:space="0" w:color="auto"/>
              <w:bottom w:val="single" w:sz="4" w:space="0" w:color="auto"/>
              <w:right w:val="single" w:sz="4" w:space="0" w:color="auto"/>
            </w:tcBorders>
          </w:tcPr>
          <w:p w14:paraId="506DD075" w14:textId="77777777" w:rsidR="0056070C" w:rsidRDefault="00BB5E36">
            <w:pPr>
              <w:pStyle w:val="11"/>
              <w:ind w:firstLineChars="0" w:firstLine="0"/>
              <w:jc w:val="center"/>
              <w:rPr>
                <w:rFonts w:ascii="宋体" w:hAnsi="宋体"/>
                <w:sz w:val="22"/>
                <w:szCs w:val="22"/>
              </w:rPr>
            </w:pPr>
            <w:r>
              <w:rPr>
                <w:rFonts w:ascii="宋体" w:hAnsi="宋体"/>
                <w:noProof/>
                <w:position w:val="-30"/>
                <w:sz w:val="22"/>
                <w:szCs w:val="22"/>
              </w:rPr>
              <w:drawing>
                <wp:inline distT="0" distB="0" distL="114300" distR="114300" wp14:anchorId="57C63CD7" wp14:editId="6B18E506">
                  <wp:extent cx="1440180" cy="35052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0"/>
                          <a:stretch>
                            <a:fillRect/>
                          </a:stretch>
                        </pic:blipFill>
                        <pic:spPr>
                          <a:xfrm>
                            <a:off x="0" y="0"/>
                            <a:ext cx="1440180" cy="350520"/>
                          </a:xfrm>
                          <a:prstGeom prst="rect">
                            <a:avLst/>
                          </a:prstGeom>
                          <a:noFill/>
                          <a:ln>
                            <a:noFill/>
                          </a:ln>
                        </pic:spPr>
                      </pic:pic>
                    </a:graphicData>
                  </a:graphic>
                </wp:inline>
              </w:drawing>
            </w:r>
          </w:p>
        </w:tc>
      </w:tr>
      <w:tr w:rsidR="0056070C" w14:paraId="4A11B96B" w14:textId="77777777">
        <w:tc>
          <w:tcPr>
            <w:tcW w:w="2376" w:type="dxa"/>
            <w:tcBorders>
              <w:top w:val="single" w:sz="4" w:space="0" w:color="auto"/>
              <w:left w:val="single" w:sz="4" w:space="0" w:color="auto"/>
              <w:bottom w:val="single" w:sz="4" w:space="0" w:color="auto"/>
              <w:right w:val="single" w:sz="4" w:space="0" w:color="auto"/>
            </w:tcBorders>
          </w:tcPr>
          <w:p w14:paraId="612A239F" w14:textId="77777777" w:rsidR="0056070C" w:rsidRDefault="0056070C">
            <w:pPr>
              <w:pStyle w:val="11"/>
              <w:ind w:firstLineChars="0" w:firstLine="0"/>
              <w:jc w:val="center"/>
              <w:rPr>
                <w:rFonts w:ascii="宋体" w:hAnsi="宋体"/>
                <w:sz w:val="22"/>
                <w:szCs w:val="22"/>
              </w:rPr>
            </w:pPr>
          </w:p>
          <w:p w14:paraId="28A57131" w14:textId="77777777" w:rsidR="0056070C" w:rsidRDefault="00BB5E36">
            <w:pPr>
              <w:pStyle w:val="11"/>
              <w:ind w:firstLineChars="0" w:firstLine="0"/>
              <w:jc w:val="center"/>
              <w:rPr>
                <w:rFonts w:ascii="宋体" w:hAnsi="宋体"/>
                <w:sz w:val="22"/>
                <w:szCs w:val="22"/>
              </w:rPr>
            </w:pPr>
            <w:r>
              <w:rPr>
                <w:rFonts w:ascii="宋体" w:hAnsi="宋体"/>
                <w:sz w:val="22"/>
                <w:szCs w:val="22"/>
              </w:rPr>
              <w:t>信用、股票类</w:t>
            </w:r>
          </w:p>
        </w:tc>
        <w:tc>
          <w:tcPr>
            <w:tcW w:w="6237" w:type="dxa"/>
            <w:tcBorders>
              <w:top w:val="single" w:sz="4" w:space="0" w:color="auto"/>
              <w:left w:val="single" w:sz="4" w:space="0" w:color="auto"/>
              <w:bottom w:val="single" w:sz="4" w:space="0" w:color="auto"/>
              <w:right w:val="single" w:sz="4" w:space="0" w:color="auto"/>
            </w:tcBorders>
          </w:tcPr>
          <w:p w14:paraId="6DF423E3" w14:textId="77777777" w:rsidR="0056070C" w:rsidRDefault="00BB5E36">
            <w:pPr>
              <w:pStyle w:val="11"/>
              <w:ind w:firstLineChars="0" w:firstLine="0"/>
              <w:jc w:val="center"/>
              <w:rPr>
                <w:rFonts w:ascii="宋体" w:hAnsi="宋体"/>
                <w:sz w:val="22"/>
                <w:szCs w:val="22"/>
              </w:rPr>
            </w:pPr>
            <w:r>
              <w:rPr>
                <w:rFonts w:ascii="宋体" w:hAnsi="宋体"/>
                <w:noProof/>
                <w:position w:val="-40"/>
                <w:sz w:val="22"/>
                <w:szCs w:val="22"/>
              </w:rPr>
              <w:drawing>
                <wp:inline distT="0" distB="0" distL="114300" distR="114300" wp14:anchorId="35170254" wp14:editId="4EC120C3">
                  <wp:extent cx="3810000" cy="502920"/>
                  <wp:effectExtent l="0" t="0" r="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3810000" cy="502920"/>
                          </a:xfrm>
                          <a:prstGeom prst="rect">
                            <a:avLst/>
                          </a:prstGeom>
                          <a:noFill/>
                          <a:ln>
                            <a:noFill/>
                          </a:ln>
                        </pic:spPr>
                      </pic:pic>
                    </a:graphicData>
                  </a:graphic>
                </wp:inline>
              </w:drawing>
            </w:r>
          </w:p>
        </w:tc>
      </w:tr>
      <w:tr w:rsidR="0056070C" w14:paraId="04A59C4A" w14:textId="77777777">
        <w:tc>
          <w:tcPr>
            <w:tcW w:w="8613" w:type="dxa"/>
            <w:gridSpan w:val="2"/>
            <w:tcBorders>
              <w:top w:val="single" w:sz="4" w:space="0" w:color="auto"/>
              <w:left w:val="single" w:sz="4" w:space="0" w:color="auto"/>
              <w:bottom w:val="single" w:sz="4" w:space="0" w:color="auto"/>
              <w:right w:val="single" w:sz="4" w:space="0" w:color="auto"/>
            </w:tcBorders>
          </w:tcPr>
          <w:p w14:paraId="250324C0" w14:textId="77777777" w:rsidR="0056070C" w:rsidRDefault="00BB5E36">
            <w:pPr>
              <w:pStyle w:val="11"/>
              <w:snapToGrid w:val="0"/>
              <w:ind w:firstLineChars="0" w:firstLine="0"/>
              <w:rPr>
                <w:rFonts w:ascii="宋体" w:hAnsi="宋体"/>
                <w:sz w:val="22"/>
                <w:szCs w:val="22"/>
              </w:rPr>
            </w:pPr>
            <w:r>
              <w:rPr>
                <w:rFonts w:ascii="宋体" w:hAnsi="宋体"/>
                <w:noProof/>
                <w:position w:val="-14"/>
                <w:sz w:val="22"/>
                <w:szCs w:val="22"/>
              </w:rPr>
              <w:drawing>
                <wp:inline distT="0" distB="0" distL="114300" distR="114300" wp14:anchorId="6212C748" wp14:editId="05740B52">
                  <wp:extent cx="533400" cy="23622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33400" cy="236220"/>
                          </a:xfrm>
                          <a:prstGeom prst="rect">
                            <a:avLst/>
                          </a:prstGeom>
                          <a:noFill/>
                          <a:ln>
                            <a:noFill/>
                          </a:ln>
                        </pic:spPr>
                      </pic:pic>
                    </a:graphicData>
                  </a:graphic>
                </wp:inline>
              </w:drawing>
            </w:r>
            <w:r>
              <w:rPr>
                <w:rFonts w:ascii="宋体" w:hAnsi="宋体"/>
                <w:sz w:val="22"/>
                <w:szCs w:val="22"/>
              </w:rPr>
              <w:t>为每个抵消组合内全部交易的附加暴露；</w:t>
            </w:r>
            <w:r>
              <w:rPr>
                <w:rFonts w:ascii="宋体" w:hAnsi="宋体"/>
                <w:noProof/>
                <w:position w:val="-14"/>
                <w:sz w:val="22"/>
                <w:szCs w:val="22"/>
              </w:rPr>
              <w:drawing>
                <wp:inline distT="0" distB="0" distL="114300" distR="114300" wp14:anchorId="4FE30D6C" wp14:editId="5486D0C2">
                  <wp:extent cx="190500" cy="236220"/>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190500" cy="236220"/>
                          </a:xfrm>
                          <a:prstGeom prst="rect">
                            <a:avLst/>
                          </a:prstGeom>
                          <a:noFill/>
                          <a:ln>
                            <a:noFill/>
                          </a:ln>
                        </pic:spPr>
                      </pic:pic>
                    </a:graphicData>
                  </a:graphic>
                </wp:inline>
              </w:drawing>
            </w:r>
            <w:r>
              <w:rPr>
                <w:rFonts w:ascii="宋体" w:hAnsi="宋体"/>
                <w:sz w:val="22"/>
                <w:szCs w:val="22"/>
              </w:rPr>
              <w:t>为监管相关系数，详见表</w:t>
            </w:r>
            <w:r>
              <w:rPr>
                <w:rFonts w:ascii="宋体" w:hAnsi="宋体"/>
                <w:sz w:val="22"/>
                <w:szCs w:val="22"/>
              </w:rPr>
              <w:t>2</w:t>
            </w:r>
            <w:r>
              <w:rPr>
                <w:rFonts w:ascii="宋体" w:hAnsi="宋体"/>
                <w:sz w:val="22"/>
                <w:szCs w:val="22"/>
              </w:rPr>
              <w:t>。</w:t>
            </w:r>
          </w:p>
        </w:tc>
      </w:tr>
    </w:tbl>
    <w:p w14:paraId="606981BF"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bCs/>
          <w:sz w:val="30"/>
          <w:szCs w:val="30"/>
        </w:rPr>
        <w:t>（</w:t>
      </w:r>
      <w:r>
        <w:rPr>
          <w:rFonts w:ascii="仿宋_GB2312" w:eastAsia="仿宋_GB2312" w:hAnsi="Times New Roman" w:cs="Times New Roman"/>
          <w:bCs/>
          <w:sz w:val="30"/>
          <w:szCs w:val="30"/>
        </w:rPr>
        <w:t>5</w:t>
      </w:r>
      <w:r>
        <w:rPr>
          <w:rFonts w:ascii="仿宋_GB2312" w:eastAsia="仿宋_GB2312" w:hAnsi="Times New Roman" w:cs="Times New Roman"/>
          <w:bCs/>
          <w:sz w:val="30"/>
          <w:szCs w:val="30"/>
        </w:rPr>
        <w:t>）单个抵消组合内附加暴露的计算公式如下：</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237"/>
      </w:tblGrid>
      <w:tr w:rsidR="0056070C" w14:paraId="6FD80A37" w14:textId="77777777">
        <w:tc>
          <w:tcPr>
            <w:tcW w:w="2376" w:type="dxa"/>
            <w:tcBorders>
              <w:top w:val="single" w:sz="4" w:space="0" w:color="auto"/>
              <w:left w:val="single" w:sz="4" w:space="0" w:color="auto"/>
              <w:bottom w:val="single" w:sz="4" w:space="0" w:color="auto"/>
              <w:right w:val="single" w:sz="4" w:space="0" w:color="auto"/>
            </w:tcBorders>
            <w:vAlign w:val="center"/>
          </w:tcPr>
          <w:p w14:paraId="4AA36570" w14:textId="77777777" w:rsidR="0056070C" w:rsidRDefault="00BB5E36">
            <w:pPr>
              <w:pStyle w:val="11"/>
              <w:ind w:firstLineChars="0" w:firstLine="0"/>
              <w:jc w:val="center"/>
              <w:rPr>
                <w:rFonts w:ascii="宋体" w:hAnsi="宋体"/>
                <w:sz w:val="22"/>
                <w:szCs w:val="22"/>
              </w:rPr>
            </w:pPr>
            <w:r>
              <w:rPr>
                <w:rFonts w:ascii="宋体" w:hAnsi="宋体" w:hint="eastAsia"/>
                <w:sz w:val="22"/>
                <w:szCs w:val="22"/>
              </w:rPr>
              <w:t>汇率</w:t>
            </w:r>
            <w:r>
              <w:rPr>
                <w:rFonts w:ascii="宋体" w:hAnsi="宋体"/>
                <w:sz w:val="22"/>
                <w:szCs w:val="22"/>
              </w:rPr>
              <w:t>类</w:t>
            </w:r>
          </w:p>
        </w:tc>
        <w:tc>
          <w:tcPr>
            <w:tcW w:w="6237" w:type="dxa"/>
            <w:tcBorders>
              <w:top w:val="single" w:sz="4" w:space="0" w:color="auto"/>
              <w:left w:val="single" w:sz="4" w:space="0" w:color="auto"/>
              <w:bottom w:val="single" w:sz="4" w:space="0" w:color="auto"/>
              <w:right w:val="single" w:sz="4" w:space="0" w:color="auto"/>
            </w:tcBorders>
          </w:tcPr>
          <w:p w14:paraId="7977467C" w14:textId="77777777" w:rsidR="0056070C" w:rsidRDefault="00BB5E36">
            <w:pPr>
              <w:pStyle w:val="11"/>
              <w:ind w:firstLineChars="0" w:firstLine="0"/>
              <w:jc w:val="center"/>
              <w:rPr>
                <w:rFonts w:ascii="宋体" w:hAnsi="宋体"/>
                <w:sz w:val="22"/>
                <w:szCs w:val="22"/>
              </w:rPr>
            </w:pPr>
            <w:r>
              <w:rPr>
                <w:rFonts w:ascii="宋体" w:hAnsi="宋体"/>
                <w:noProof/>
                <w:sz w:val="22"/>
                <w:szCs w:val="22"/>
              </w:rPr>
              <w:drawing>
                <wp:inline distT="0" distB="0" distL="114300" distR="114300" wp14:anchorId="53038B3A" wp14:editId="4A01075D">
                  <wp:extent cx="2209800" cy="274320"/>
                  <wp:effectExtent l="0" t="0" r="317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2209800" cy="274320"/>
                          </a:xfrm>
                          <a:prstGeom prst="rect">
                            <a:avLst/>
                          </a:prstGeom>
                          <a:noFill/>
                          <a:ln>
                            <a:noFill/>
                          </a:ln>
                        </pic:spPr>
                      </pic:pic>
                    </a:graphicData>
                  </a:graphic>
                </wp:inline>
              </w:drawing>
            </w:r>
          </w:p>
        </w:tc>
      </w:tr>
      <w:tr w:rsidR="0056070C" w14:paraId="37B25D28" w14:textId="77777777">
        <w:tc>
          <w:tcPr>
            <w:tcW w:w="2376" w:type="dxa"/>
            <w:tcBorders>
              <w:top w:val="single" w:sz="4" w:space="0" w:color="auto"/>
              <w:left w:val="single" w:sz="4" w:space="0" w:color="auto"/>
              <w:bottom w:val="single" w:sz="4" w:space="0" w:color="auto"/>
              <w:right w:val="single" w:sz="4" w:space="0" w:color="auto"/>
            </w:tcBorders>
            <w:vAlign w:val="center"/>
          </w:tcPr>
          <w:p w14:paraId="4E0CD3E5" w14:textId="77777777" w:rsidR="0056070C" w:rsidRDefault="00BB5E36">
            <w:pPr>
              <w:pStyle w:val="11"/>
              <w:ind w:firstLineChars="0" w:firstLine="0"/>
              <w:jc w:val="center"/>
              <w:rPr>
                <w:rFonts w:ascii="宋体" w:hAnsi="宋体"/>
                <w:sz w:val="22"/>
                <w:szCs w:val="22"/>
              </w:rPr>
            </w:pPr>
            <w:r>
              <w:rPr>
                <w:rFonts w:ascii="宋体" w:hAnsi="宋体"/>
                <w:sz w:val="22"/>
                <w:szCs w:val="22"/>
              </w:rPr>
              <w:t>商品类</w:t>
            </w:r>
          </w:p>
        </w:tc>
        <w:tc>
          <w:tcPr>
            <w:tcW w:w="6237" w:type="dxa"/>
            <w:tcBorders>
              <w:top w:val="single" w:sz="4" w:space="0" w:color="auto"/>
              <w:left w:val="single" w:sz="4" w:space="0" w:color="auto"/>
              <w:bottom w:val="single" w:sz="4" w:space="0" w:color="auto"/>
              <w:right w:val="single" w:sz="4" w:space="0" w:color="auto"/>
            </w:tcBorders>
          </w:tcPr>
          <w:p w14:paraId="5D29D207" w14:textId="77777777" w:rsidR="0056070C" w:rsidRDefault="00BB5E36">
            <w:pPr>
              <w:pStyle w:val="11"/>
              <w:ind w:firstLineChars="0" w:firstLine="0"/>
              <w:jc w:val="center"/>
              <w:rPr>
                <w:rFonts w:ascii="宋体" w:hAnsi="宋体"/>
                <w:sz w:val="22"/>
                <w:szCs w:val="22"/>
              </w:rPr>
            </w:pPr>
            <w:r>
              <w:rPr>
                <w:rFonts w:ascii="宋体" w:hAnsi="宋体"/>
                <w:noProof/>
                <w:position w:val="-36"/>
                <w:sz w:val="22"/>
                <w:szCs w:val="22"/>
              </w:rPr>
              <w:drawing>
                <wp:inline distT="0" distB="0" distL="114300" distR="114300" wp14:anchorId="248445B7" wp14:editId="01734989">
                  <wp:extent cx="3878580" cy="617220"/>
                  <wp:effectExtent l="0" t="0" r="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3878580" cy="617220"/>
                          </a:xfrm>
                          <a:prstGeom prst="rect">
                            <a:avLst/>
                          </a:prstGeom>
                          <a:noFill/>
                          <a:ln>
                            <a:noFill/>
                          </a:ln>
                        </pic:spPr>
                      </pic:pic>
                    </a:graphicData>
                  </a:graphic>
                </wp:inline>
              </w:drawing>
            </w:r>
            <w:r>
              <w:rPr>
                <w:rFonts w:ascii="宋体" w:hAnsi="宋体"/>
                <w:sz w:val="22"/>
                <w:szCs w:val="22"/>
              </w:rPr>
              <w:t>其中，</w:t>
            </w:r>
            <w:r>
              <w:rPr>
                <w:rFonts w:ascii="宋体" w:hAnsi="宋体"/>
                <w:noProof/>
                <w:position w:val="-12"/>
                <w:sz w:val="22"/>
                <w:szCs w:val="22"/>
              </w:rPr>
              <w:drawing>
                <wp:inline distT="0" distB="0" distL="114300" distR="114300" wp14:anchorId="3ED8CE42" wp14:editId="1E6D8A61">
                  <wp:extent cx="533400" cy="2286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533400" cy="228600"/>
                          </a:xfrm>
                          <a:prstGeom prst="rect">
                            <a:avLst/>
                          </a:prstGeom>
                          <a:noFill/>
                          <a:ln>
                            <a:noFill/>
                          </a:ln>
                        </pic:spPr>
                      </pic:pic>
                    </a:graphicData>
                  </a:graphic>
                </wp:inline>
              </w:drawing>
            </w:r>
            <w:r>
              <w:rPr>
                <w:rFonts w:ascii="宋体" w:hAnsi="宋体"/>
                <w:sz w:val="22"/>
                <w:szCs w:val="22"/>
              </w:rPr>
              <w:t>为每个商品子类</w:t>
            </w:r>
            <w:r>
              <w:rPr>
                <w:rFonts w:ascii="宋体" w:hAnsi="宋体"/>
                <w:i/>
                <w:iCs/>
                <w:sz w:val="22"/>
                <w:szCs w:val="22"/>
              </w:rPr>
              <w:t>k</w:t>
            </w:r>
            <w:r>
              <w:rPr>
                <w:rFonts w:ascii="宋体" w:hAnsi="宋体"/>
                <w:sz w:val="22"/>
                <w:szCs w:val="22"/>
              </w:rPr>
              <w:t>的附加暴露，计算方法为：</w:t>
            </w:r>
          </w:p>
          <w:p w14:paraId="286B4E94" w14:textId="77777777" w:rsidR="0056070C" w:rsidRDefault="00BB5E36">
            <w:pPr>
              <w:pStyle w:val="11"/>
              <w:ind w:firstLineChars="0" w:firstLine="0"/>
              <w:jc w:val="center"/>
              <w:rPr>
                <w:rFonts w:ascii="宋体" w:hAnsi="宋体"/>
                <w:sz w:val="22"/>
                <w:szCs w:val="22"/>
              </w:rPr>
            </w:pPr>
            <w:r>
              <w:rPr>
                <w:rFonts w:ascii="宋体" w:hAnsi="宋体"/>
                <w:noProof/>
                <w:position w:val="-12"/>
                <w:sz w:val="22"/>
              </w:rPr>
              <w:drawing>
                <wp:inline distT="0" distB="0" distL="114300" distR="114300" wp14:anchorId="6B62665B" wp14:editId="38FD96F6">
                  <wp:extent cx="2164080" cy="2286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2164080" cy="228600"/>
                          </a:xfrm>
                          <a:prstGeom prst="rect">
                            <a:avLst/>
                          </a:prstGeom>
                          <a:noFill/>
                          <a:ln>
                            <a:noFill/>
                          </a:ln>
                        </pic:spPr>
                      </pic:pic>
                    </a:graphicData>
                  </a:graphic>
                </wp:inline>
              </w:drawing>
            </w:r>
          </w:p>
        </w:tc>
      </w:tr>
      <w:tr w:rsidR="0056070C" w14:paraId="1CC1466A" w14:textId="77777777">
        <w:tc>
          <w:tcPr>
            <w:tcW w:w="2376" w:type="dxa"/>
            <w:tcBorders>
              <w:top w:val="single" w:sz="4" w:space="0" w:color="auto"/>
              <w:left w:val="single" w:sz="4" w:space="0" w:color="auto"/>
              <w:bottom w:val="single" w:sz="4" w:space="0" w:color="auto"/>
              <w:right w:val="single" w:sz="4" w:space="0" w:color="auto"/>
            </w:tcBorders>
            <w:vAlign w:val="center"/>
          </w:tcPr>
          <w:p w14:paraId="50AC95C1" w14:textId="77777777" w:rsidR="0056070C" w:rsidRDefault="00BB5E36">
            <w:pPr>
              <w:pStyle w:val="11"/>
              <w:ind w:firstLineChars="0" w:firstLine="0"/>
              <w:jc w:val="center"/>
              <w:rPr>
                <w:rFonts w:ascii="宋体" w:hAnsi="宋体"/>
                <w:sz w:val="22"/>
                <w:szCs w:val="22"/>
              </w:rPr>
            </w:pPr>
            <w:r>
              <w:rPr>
                <w:rFonts w:ascii="宋体" w:hAnsi="宋体"/>
                <w:sz w:val="22"/>
                <w:szCs w:val="22"/>
              </w:rPr>
              <w:t>利率、信用和股票类</w:t>
            </w:r>
          </w:p>
        </w:tc>
        <w:tc>
          <w:tcPr>
            <w:tcW w:w="6237" w:type="dxa"/>
            <w:tcBorders>
              <w:top w:val="single" w:sz="4" w:space="0" w:color="auto"/>
              <w:left w:val="single" w:sz="4" w:space="0" w:color="auto"/>
              <w:bottom w:val="single" w:sz="4" w:space="0" w:color="auto"/>
              <w:right w:val="single" w:sz="4" w:space="0" w:color="auto"/>
            </w:tcBorders>
          </w:tcPr>
          <w:p w14:paraId="07F9FF3C" w14:textId="77777777" w:rsidR="0056070C" w:rsidRDefault="00BB5E36">
            <w:pPr>
              <w:pStyle w:val="11"/>
              <w:ind w:firstLineChars="0" w:firstLine="0"/>
              <w:jc w:val="center"/>
              <w:rPr>
                <w:rFonts w:ascii="宋体" w:hAnsi="宋体"/>
                <w:sz w:val="22"/>
                <w:szCs w:val="22"/>
              </w:rPr>
            </w:pPr>
            <w:r>
              <w:rPr>
                <w:rFonts w:ascii="宋体" w:hAnsi="宋体"/>
                <w:noProof/>
                <w:position w:val="-14"/>
                <w:sz w:val="22"/>
                <w:szCs w:val="22"/>
              </w:rPr>
              <w:drawing>
                <wp:inline distT="0" distB="0" distL="114300" distR="114300" wp14:anchorId="73953667" wp14:editId="3E5501DB">
                  <wp:extent cx="2141220" cy="236220"/>
                  <wp:effectExtent l="0" t="0" r="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stretch>
                            <a:fillRect/>
                          </a:stretch>
                        </pic:blipFill>
                        <pic:spPr>
                          <a:xfrm>
                            <a:off x="0" y="0"/>
                            <a:ext cx="2141220" cy="236220"/>
                          </a:xfrm>
                          <a:prstGeom prst="rect">
                            <a:avLst/>
                          </a:prstGeom>
                          <a:noFill/>
                          <a:ln>
                            <a:noFill/>
                          </a:ln>
                        </pic:spPr>
                      </pic:pic>
                    </a:graphicData>
                  </a:graphic>
                </wp:inline>
              </w:drawing>
            </w:r>
          </w:p>
        </w:tc>
      </w:tr>
      <w:tr w:rsidR="0056070C" w14:paraId="4B569B75" w14:textId="77777777">
        <w:tc>
          <w:tcPr>
            <w:tcW w:w="8613" w:type="dxa"/>
            <w:gridSpan w:val="2"/>
            <w:tcBorders>
              <w:top w:val="single" w:sz="4" w:space="0" w:color="auto"/>
              <w:left w:val="single" w:sz="4" w:space="0" w:color="auto"/>
              <w:bottom w:val="single" w:sz="4" w:space="0" w:color="auto"/>
              <w:right w:val="single" w:sz="4" w:space="0" w:color="auto"/>
            </w:tcBorders>
          </w:tcPr>
          <w:p w14:paraId="3DB70B07" w14:textId="77777777" w:rsidR="0056070C" w:rsidRDefault="00BB5E36">
            <w:pPr>
              <w:pStyle w:val="11"/>
              <w:ind w:firstLineChars="0" w:firstLine="0"/>
              <w:rPr>
                <w:rFonts w:ascii="宋体" w:hAnsi="宋体"/>
                <w:sz w:val="22"/>
                <w:szCs w:val="22"/>
              </w:rPr>
            </w:pPr>
            <w:r>
              <w:rPr>
                <w:rFonts w:ascii="宋体" w:hAnsi="宋体"/>
                <w:sz w:val="22"/>
                <w:szCs w:val="22"/>
              </w:rPr>
              <w:t>其中：</w:t>
            </w:r>
            <w:r>
              <w:rPr>
                <w:rFonts w:ascii="宋体" w:hAnsi="宋体"/>
                <w:i/>
                <w:iCs/>
                <w:sz w:val="22"/>
                <w:szCs w:val="22"/>
              </w:rPr>
              <w:t>SF</w:t>
            </w:r>
            <w:r>
              <w:rPr>
                <w:rFonts w:ascii="宋体" w:hAnsi="宋体"/>
                <w:sz w:val="22"/>
                <w:szCs w:val="22"/>
              </w:rPr>
              <w:t>为监管因子，根据表</w:t>
            </w:r>
            <w:r>
              <w:rPr>
                <w:rFonts w:ascii="宋体" w:hAnsi="宋体"/>
                <w:sz w:val="22"/>
                <w:szCs w:val="22"/>
              </w:rPr>
              <w:t>2</w:t>
            </w:r>
            <w:r>
              <w:rPr>
                <w:rFonts w:ascii="宋体" w:hAnsi="宋体"/>
                <w:sz w:val="22"/>
                <w:szCs w:val="22"/>
              </w:rPr>
              <w:t>确定；</w:t>
            </w:r>
          </w:p>
          <w:p w14:paraId="322EE010" w14:textId="77777777" w:rsidR="0056070C" w:rsidRDefault="00BB5E36">
            <w:pPr>
              <w:pStyle w:val="11"/>
              <w:ind w:firstLineChars="0" w:firstLine="0"/>
              <w:rPr>
                <w:rFonts w:ascii="宋体" w:hAnsi="宋体"/>
                <w:sz w:val="22"/>
                <w:szCs w:val="22"/>
              </w:rPr>
            </w:pPr>
            <w:proofErr w:type="spellStart"/>
            <w:r>
              <w:rPr>
                <w:rFonts w:ascii="宋体" w:hAnsi="宋体"/>
                <w:i/>
                <w:iCs/>
                <w:sz w:val="22"/>
                <w:szCs w:val="22"/>
              </w:rPr>
              <w:t>EffectiveNotional</w:t>
            </w:r>
            <w:proofErr w:type="spellEnd"/>
            <w:r>
              <w:rPr>
                <w:rFonts w:ascii="宋体" w:hAnsi="宋体"/>
                <w:sz w:val="22"/>
                <w:szCs w:val="22"/>
              </w:rPr>
              <w:t>为有效名义本金，商品类为单个商品子类的有效名义本金，其余类型为单个抵消组合的有效名义本金。</w:t>
            </w:r>
          </w:p>
        </w:tc>
      </w:tr>
    </w:tbl>
    <w:p w14:paraId="5496A295" w14:textId="77777777" w:rsidR="0056070C" w:rsidRDefault="00BB5E36">
      <w:pPr>
        <w:keepNext/>
        <w:widowControl/>
        <w:spacing w:beforeLines="50" w:before="156" w:line="480" w:lineRule="exact"/>
        <w:ind w:firstLineChars="200" w:firstLine="562"/>
        <w:jc w:val="center"/>
        <w:rPr>
          <w:rFonts w:ascii="Times New Roman" w:eastAsia="楷体_GB2312" w:hAnsi="Times New Roman" w:cs="Times New Roman"/>
          <w:b/>
          <w:sz w:val="28"/>
          <w:szCs w:val="28"/>
        </w:rPr>
      </w:pPr>
      <w:r>
        <w:rPr>
          <w:rFonts w:ascii="Times New Roman" w:eastAsia="楷体_GB2312" w:hAnsi="Times New Roman" w:cs="Times New Roman"/>
          <w:b/>
          <w:sz w:val="28"/>
          <w:szCs w:val="28"/>
        </w:rPr>
        <w:lastRenderedPageBreak/>
        <w:t>表</w:t>
      </w:r>
      <w:r>
        <w:rPr>
          <w:rFonts w:ascii="仿宋_GB2312" w:eastAsia="仿宋_GB2312" w:hAnsi="Times New Roman" w:cs="Times New Roman" w:hint="eastAsia"/>
          <w:b/>
          <w:sz w:val="28"/>
          <w:szCs w:val="28"/>
        </w:rPr>
        <w:t xml:space="preserve">2 </w:t>
      </w:r>
      <w:r>
        <w:rPr>
          <w:rFonts w:ascii="Times New Roman" w:eastAsia="楷体_GB2312" w:hAnsi="Times New Roman" w:cs="Times New Roman"/>
          <w:b/>
          <w:sz w:val="28"/>
          <w:szCs w:val="28"/>
        </w:rPr>
        <w:t>监管系数表汇总表</w:t>
      </w:r>
    </w:p>
    <w:tbl>
      <w:tblPr>
        <w:tblStyle w:val="af1"/>
        <w:tblW w:w="0" w:type="auto"/>
        <w:tblLook w:val="04A0" w:firstRow="1" w:lastRow="0" w:firstColumn="1" w:lastColumn="0" w:noHBand="0" w:noVBand="1"/>
      </w:tblPr>
      <w:tblGrid>
        <w:gridCol w:w="1659"/>
        <w:gridCol w:w="1655"/>
        <w:gridCol w:w="1665"/>
        <w:gridCol w:w="1656"/>
        <w:gridCol w:w="1661"/>
      </w:tblGrid>
      <w:tr w:rsidR="0056070C" w14:paraId="6A67BB26" w14:textId="77777777">
        <w:trPr>
          <w:trHeight w:val="90"/>
          <w:tblHeader/>
        </w:trPr>
        <w:tc>
          <w:tcPr>
            <w:tcW w:w="1704" w:type="dxa"/>
            <w:vAlign w:val="center"/>
          </w:tcPr>
          <w:p w14:paraId="31E8081E" w14:textId="77777777" w:rsidR="0056070C" w:rsidRDefault="00BB5E36">
            <w:pPr>
              <w:jc w:val="center"/>
              <w:rPr>
                <w:rFonts w:ascii="宋体" w:eastAsia="宋体" w:hAnsi="宋体" w:cs="宋体"/>
                <w:kern w:val="0"/>
                <w:sz w:val="24"/>
                <w:szCs w:val="24"/>
              </w:rPr>
            </w:pPr>
            <w:r>
              <w:rPr>
                <w:rFonts w:ascii="宋体" w:eastAsia="宋体" w:hAnsi="宋体" w:cs="宋体" w:hint="eastAsia"/>
                <w:b/>
                <w:kern w:val="0"/>
                <w:sz w:val="24"/>
                <w:szCs w:val="24"/>
              </w:rPr>
              <w:t>类别</w:t>
            </w:r>
          </w:p>
        </w:tc>
        <w:tc>
          <w:tcPr>
            <w:tcW w:w="1704" w:type="dxa"/>
            <w:vAlign w:val="center"/>
          </w:tcPr>
          <w:p w14:paraId="2D8C4682" w14:textId="77777777" w:rsidR="0056070C" w:rsidRDefault="00BB5E36">
            <w:pPr>
              <w:jc w:val="center"/>
              <w:rPr>
                <w:rFonts w:ascii="宋体" w:eastAsia="宋体" w:hAnsi="宋体" w:cs="宋体"/>
                <w:kern w:val="0"/>
                <w:sz w:val="24"/>
                <w:szCs w:val="24"/>
              </w:rPr>
            </w:pPr>
            <w:r>
              <w:rPr>
                <w:rFonts w:ascii="宋体" w:eastAsia="宋体" w:hAnsi="宋体" w:cs="宋体" w:hint="eastAsia"/>
                <w:b/>
                <w:kern w:val="0"/>
                <w:sz w:val="24"/>
                <w:szCs w:val="24"/>
              </w:rPr>
              <w:t>子类</w:t>
            </w:r>
          </w:p>
        </w:tc>
        <w:tc>
          <w:tcPr>
            <w:tcW w:w="1704" w:type="dxa"/>
            <w:vAlign w:val="center"/>
          </w:tcPr>
          <w:p w14:paraId="7979BA5F" w14:textId="77777777" w:rsidR="0056070C" w:rsidRDefault="00BB5E36">
            <w:pPr>
              <w:jc w:val="center"/>
              <w:rPr>
                <w:rFonts w:ascii="宋体" w:eastAsia="宋体" w:hAnsi="宋体" w:cs="宋体"/>
                <w:kern w:val="0"/>
                <w:sz w:val="24"/>
                <w:szCs w:val="24"/>
              </w:rPr>
            </w:pPr>
            <w:r>
              <w:rPr>
                <w:rFonts w:ascii="宋体" w:eastAsia="宋体" w:hAnsi="宋体" w:cs="宋体" w:hint="eastAsia"/>
                <w:b/>
                <w:kern w:val="0"/>
                <w:sz w:val="24"/>
                <w:szCs w:val="24"/>
              </w:rPr>
              <w:t>监管因子</w:t>
            </w:r>
          </w:p>
        </w:tc>
        <w:tc>
          <w:tcPr>
            <w:tcW w:w="1705" w:type="dxa"/>
            <w:vAlign w:val="center"/>
          </w:tcPr>
          <w:p w14:paraId="4DEFC3D9" w14:textId="77777777" w:rsidR="0056070C" w:rsidRDefault="00BB5E36">
            <w:pPr>
              <w:jc w:val="center"/>
              <w:rPr>
                <w:rFonts w:ascii="宋体" w:eastAsia="宋体" w:hAnsi="宋体" w:cs="宋体"/>
                <w:kern w:val="0"/>
                <w:sz w:val="24"/>
                <w:szCs w:val="24"/>
              </w:rPr>
            </w:pPr>
            <w:r>
              <w:rPr>
                <w:rFonts w:ascii="宋体" w:eastAsia="宋体" w:hAnsi="宋体" w:cs="宋体" w:hint="eastAsia"/>
                <w:b/>
                <w:kern w:val="0"/>
                <w:sz w:val="24"/>
                <w:szCs w:val="24"/>
              </w:rPr>
              <w:t>监管相关系数</w:t>
            </w:r>
          </w:p>
        </w:tc>
        <w:tc>
          <w:tcPr>
            <w:tcW w:w="1705" w:type="dxa"/>
            <w:vAlign w:val="center"/>
          </w:tcPr>
          <w:p w14:paraId="0239470F" w14:textId="77777777" w:rsidR="0056070C" w:rsidRDefault="00BB5E36">
            <w:pPr>
              <w:jc w:val="center"/>
              <w:rPr>
                <w:rFonts w:ascii="宋体" w:eastAsia="宋体" w:hAnsi="宋体" w:cs="宋体"/>
                <w:kern w:val="0"/>
                <w:sz w:val="24"/>
                <w:szCs w:val="24"/>
              </w:rPr>
            </w:pPr>
            <w:r>
              <w:rPr>
                <w:rFonts w:ascii="宋体" w:eastAsia="宋体" w:hAnsi="宋体" w:cs="宋体" w:hint="eastAsia"/>
                <w:b/>
                <w:kern w:val="0"/>
                <w:sz w:val="24"/>
                <w:szCs w:val="24"/>
              </w:rPr>
              <w:t>监管波动率</w:t>
            </w:r>
          </w:p>
        </w:tc>
      </w:tr>
      <w:tr w:rsidR="0056070C" w14:paraId="0B48A4F6" w14:textId="77777777">
        <w:tc>
          <w:tcPr>
            <w:tcW w:w="1704" w:type="dxa"/>
            <w:vAlign w:val="center"/>
          </w:tcPr>
          <w:p w14:paraId="2883A38F"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利率</w:t>
            </w:r>
          </w:p>
        </w:tc>
        <w:tc>
          <w:tcPr>
            <w:tcW w:w="1704" w:type="dxa"/>
            <w:vMerge w:val="restart"/>
            <w:vAlign w:val="center"/>
          </w:tcPr>
          <w:p w14:paraId="5D266E01"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w:t>
            </w:r>
          </w:p>
        </w:tc>
        <w:tc>
          <w:tcPr>
            <w:tcW w:w="1704" w:type="dxa"/>
          </w:tcPr>
          <w:p w14:paraId="2656FA07"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0.50%</w:t>
            </w:r>
          </w:p>
        </w:tc>
        <w:tc>
          <w:tcPr>
            <w:tcW w:w="1705" w:type="dxa"/>
          </w:tcPr>
          <w:p w14:paraId="71C293F7"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N/A</w:t>
            </w:r>
          </w:p>
        </w:tc>
        <w:tc>
          <w:tcPr>
            <w:tcW w:w="1705" w:type="dxa"/>
          </w:tcPr>
          <w:p w14:paraId="50B35820"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50%</w:t>
            </w:r>
          </w:p>
        </w:tc>
      </w:tr>
      <w:tr w:rsidR="0056070C" w14:paraId="00157885" w14:textId="77777777">
        <w:tc>
          <w:tcPr>
            <w:tcW w:w="1704" w:type="dxa"/>
            <w:vAlign w:val="center"/>
          </w:tcPr>
          <w:p w14:paraId="7CED22F7"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汇率</w:t>
            </w:r>
          </w:p>
        </w:tc>
        <w:tc>
          <w:tcPr>
            <w:tcW w:w="1704" w:type="dxa"/>
            <w:vMerge/>
          </w:tcPr>
          <w:p w14:paraId="30636760" w14:textId="77777777" w:rsidR="0056070C" w:rsidRDefault="0056070C">
            <w:pPr>
              <w:jc w:val="center"/>
              <w:rPr>
                <w:rFonts w:ascii="宋体" w:eastAsia="宋体" w:hAnsi="宋体" w:cs="宋体"/>
                <w:kern w:val="0"/>
                <w:sz w:val="24"/>
                <w:szCs w:val="24"/>
              </w:rPr>
            </w:pPr>
          </w:p>
        </w:tc>
        <w:tc>
          <w:tcPr>
            <w:tcW w:w="1704" w:type="dxa"/>
          </w:tcPr>
          <w:p w14:paraId="70819B46"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1705" w:type="dxa"/>
          </w:tcPr>
          <w:p w14:paraId="372EBE9F"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N/A</w:t>
            </w:r>
          </w:p>
        </w:tc>
        <w:tc>
          <w:tcPr>
            <w:tcW w:w="1705" w:type="dxa"/>
          </w:tcPr>
          <w:p w14:paraId="1753ACB6"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15%</w:t>
            </w:r>
          </w:p>
        </w:tc>
      </w:tr>
      <w:tr w:rsidR="0056070C" w14:paraId="6DD94F04" w14:textId="77777777">
        <w:tc>
          <w:tcPr>
            <w:tcW w:w="1704" w:type="dxa"/>
            <w:vMerge w:val="restart"/>
            <w:vAlign w:val="center"/>
          </w:tcPr>
          <w:p w14:paraId="52BD34D9"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信用，单一</w:t>
            </w:r>
          </w:p>
        </w:tc>
        <w:tc>
          <w:tcPr>
            <w:tcW w:w="1704" w:type="dxa"/>
          </w:tcPr>
          <w:p w14:paraId="3FA13AF5"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AAA</w:t>
            </w:r>
          </w:p>
        </w:tc>
        <w:tc>
          <w:tcPr>
            <w:tcW w:w="1704" w:type="dxa"/>
          </w:tcPr>
          <w:p w14:paraId="275F8D1E"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0.38%</w:t>
            </w:r>
          </w:p>
        </w:tc>
        <w:tc>
          <w:tcPr>
            <w:tcW w:w="1705" w:type="dxa"/>
          </w:tcPr>
          <w:p w14:paraId="17B56FA6"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1705" w:type="dxa"/>
          </w:tcPr>
          <w:p w14:paraId="2688EC2D"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100%</w:t>
            </w:r>
          </w:p>
        </w:tc>
      </w:tr>
      <w:tr w:rsidR="0056070C" w14:paraId="516C4DA5" w14:textId="77777777">
        <w:tc>
          <w:tcPr>
            <w:tcW w:w="1704" w:type="dxa"/>
            <w:vMerge/>
            <w:vAlign w:val="center"/>
          </w:tcPr>
          <w:p w14:paraId="44B93008" w14:textId="77777777" w:rsidR="0056070C" w:rsidRDefault="0056070C">
            <w:pPr>
              <w:jc w:val="center"/>
              <w:rPr>
                <w:rFonts w:ascii="宋体" w:eastAsia="宋体" w:hAnsi="宋体" w:cs="宋体"/>
                <w:kern w:val="0"/>
                <w:sz w:val="24"/>
                <w:szCs w:val="24"/>
              </w:rPr>
            </w:pPr>
          </w:p>
        </w:tc>
        <w:tc>
          <w:tcPr>
            <w:tcW w:w="1704" w:type="dxa"/>
          </w:tcPr>
          <w:p w14:paraId="0F748C2F"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AA</w:t>
            </w:r>
          </w:p>
        </w:tc>
        <w:tc>
          <w:tcPr>
            <w:tcW w:w="1704" w:type="dxa"/>
          </w:tcPr>
          <w:p w14:paraId="0532A26C"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0.38%</w:t>
            </w:r>
          </w:p>
        </w:tc>
        <w:tc>
          <w:tcPr>
            <w:tcW w:w="1705" w:type="dxa"/>
          </w:tcPr>
          <w:p w14:paraId="028DB752"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50%</w:t>
            </w:r>
          </w:p>
        </w:tc>
        <w:tc>
          <w:tcPr>
            <w:tcW w:w="1705" w:type="dxa"/>
          </w:tcPr>
          <w:p w14:paraId="11BE6D1B"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100%</w:t>
            </w:r>
          </w:p>
        </w:tc>
      </w:tr>
      <w:tr w:rsidR="0056070C" w14:paraId="3E2F9DCB" w14:textId="77777777">
        <w:tc>
          <w:tcPr>
            <w:tcW w:w="1704" w:type="dxa"/>
            <w:vMerge/>
            <w:vAlign w:val="center"/>
          </w:tcPr>
          <w:p w14:paraId="42EBA38F" w14:textId="77777777" w:rsidR="0056070C" w:rsidRDefault="0056070C">
            <w:pPr>
              <w:jc w:val="center"/>
              <w:rPr>
                <w:rFonts w:ascii="宋体" w:eastAsia="宋体" w:hAnsi="宋体" w:cs="宋体"/>
                <w:kern w:val="0"/>
                <w:sz w:val="24"/>
                <w:szCs w:val="24"/>
              </w:rPr>
            </w:pPr>
          </w:p>
        </w:tc>
        <w:tc>
          <w:tcPr>
            <w:tcW w:w="1704" w:type="dxa"/>
          </w:tcPr>
          <w:p w14:paraId="64EE7F03"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A</w:t>
            </w:r>
          </w:p>
        </w:tc>
        <w:tc>
          <w:tcPr>
            <w:tcW w:w="1704" w:type="dxa"/>
          </w:tcPr>
          <w:p w14:paraId="2C8B7CAB"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0.42%</w:t>
            </w:r>
          </w:p>
        </w:tc>
        <w:tc>
          <w:tcPr>
            <w:tcW w:w="1705" w:type="dxa"/>
          </w:tcPr>
          <w:p w14:paraId="7E3A7925"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50%</w:t>
            </w:r>
          </w:p>
        </w:tc>
        <w:tc>
          <w:tcPr>
            <w:tcW w:w="1705" w:type="dxa"/>
          </w:tcPr>
          <w:p w14:paraId="24467628"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100%</w:t>
            </w:r>
          </w:p>
        </w:tc>
      </w:tr>
      <w:tr w:rsidR="0056070C" w14:paraId="436DD503" w14:textId="77777777">
        <w:tc>
          <w:tcPr>
            <w:tcW w:w="1704" w:type="dxa"/>
            <w:vMerge/>
            <w:vAlign w:val="center"/>
          </w:tcPr>
          <w:p w14:paraId="43C5569A" w14:textId="77777777" w:rsidR="0056070C" w:rsidRDefault="0056070C">
            <w:pPr>
              <w:jc w:val="center"/>
              <w:rPr>
                <w:rFonts w:ascii="宋体" w:eastAsia="宋体" w:hAnsi="宋体" w:cs="宋体"/>
                <w:kern w:val="0"/>
                <w:sz w:val="24"/>
                <w:szCs w:val="24"/>
              </w:rPr>
            </w:pPr>
          </w:p>
        </w:tc>
        <w:tc>
          <w:tcPr>
            <w:tcW w:w="1704" w:type="dxa"/>
          </w:tcPr>
          <w:p w14:paraId="04983455"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BBB</w:t>
            </w:r>
          </w:p>
        </w:tc>
        <w:tc>
          <w:tcPr>
            <w:tcW w:w="1704" w:type="dxa"/>
          </w:tcPr>
          <w:p w14:paraId="5E1C40F2"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0.54%</w:t>
            </w:r>
          </w:p>
        </w:tc>
        <w:tc>
          <w:tcPr>
            <w:tcW w:w="1705" w:type="dxa"/>
          </w:tcPr>
          <w:p w14:paraId="7CF47A39"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50%</w:t>
            </w:r>
          </w:p>
        </w:tc>
        <w:tc>
          <w:tcPr>
            <w:tcW w:w="1705" w:type="dxa"/>
          </w:tcPr>
          <w:p w14:paraId="4A01D5A4"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100%</w:t>
            </w:r>
          </w:p>
        </w:tc>
      </w:tr>
      <w:tr w:rsidR="0056070C" w14:paraId="49FC2E49" w14:textId="77777777">
        <w:tc>
          <w:tcPr>
            <w:tcW w:w="1704" w:type="dxa"/>
            <w:vMerge/>
            <w:vAlign w:val="center"/>
          </w:tcPr>
          <w:p w14:paraId="6791A529" w14:textId="77777777" w:rsidR="0056070C" w:rsidRDefault="0056070C">
            <w:pPr>
              <w:jc w:val="center"/>
              <w:rPr>
                <w:rFonts w:ascii="宋体" w:eastAsia="宋体" w:hAnsi="宋体" w:cs="宋体"/>
                <w:kern w:val="0"/>
                <w:sz w:val="24"/>
                <w:szCs w:val="24"/>
              </w:rPr>
            </w:pPr>
          </w:p>
        </w:tc>
        <w:tc>
          <w:tcPr>
            <w:tcW w:w="1704" w:type="dxa"/>
          </w:tcPr>
          <w:p w14:paraId="597A0443"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BB</w:t>
            </w:r>
            <w:r>
              <w:rPr>
                <w:rFonts w:ascii="宋体" w:eastAsia="宋体" w:hAnsi="宋体" w:cs="宋体"/>
                <w:kern w:val="0"/>
                <w:sz w:val="24"/>
                <w:szCs w:val="24"/>
              </w:rPr>
              <w:t>或无评级</w:t>
            </w:r>
          </w:p>
        </w:tc>
        <w:tc>
          <w:tcPr>
            <w:tcW w:w="1704" w:type="dxa"/>
          </w:tcPr>
          <w:p w14:paraId="39026D89"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1.06%</w:t>
            </w:r>
          </w:p>
        </w:tc>
        <w:tc>
          <w:tcPr>
            <w:tcW w:w="1705" w:type="dxa"/>
          </w:tcPr>
          <w:p w14:paraId="2D30E987"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50%</w:t>
            </w:r>
          </w:p>
        </w:tc>
        <w:tc>
          <w:tcPr>
            <w:tcW w:w="1705" w:type="dxa"/>
          </w:tcPr>
          <w:p w14:paraId="487BA1D4"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100%</w:t>
            </w:r>
          </w:p>
        </w:tc>
      </w:tr>
      <w:tr w:rsidR="0056070C" w14:paraId="7ECB56A0" w14:textId="77777777">
        <w:tc>
          <w:tcPr>
            <w:tcW w:w="1704" w:type="dxa"/>
            <w:vMerge/>
            <w:vAlign w:val="center"/>
          </w:tcPr>
          <w:p w14:paraId="6A88926A" w14:textId="77777777" w:rsidR="0056070C" w:rsidRDefault="0056070C">
            <w:pPr>
              <w:jc w:val="center"/>
              <w:rPr>
                <w:rFonts w:ascii="宋体" w:eastAsia="宋体" w:hAnsi="宋体" w:cs="宋体"/>
                <w:kern w:val="0"/>
                <w:sz w:val="24"/>
                <w:szCs w:val="24"/>
              </w:rPr>
            </w:pPr>
          </w:p>
        </w:tc>
        <w:tc>
          <w:tcPr>
            <w:tcW w:w="1704" w:type="dxa"/>
          </w:tcPr>
          <w:p w14:paraId="1465DBEE"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B</w:t>
            </w:r>
          </w:p>
        </w:tc>
        <w:tc>
          <w:tcPr>
            <w:tcW w:w="1704" w:type="dxa"/>
          </w:tcPr>
          <w:p w14:paraId="22B2F0C3"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1.6%</w:t>
            </w:r>
          </w:p>
        </w:tc>
        <w:tc>
          <w:tcPr>
            <w:tcW w:w="1705" w:type="dxa"/>
          </w:tcPr>
          <w:p w14:paraId="45CB1E44"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50%</w:t>
            </w:r>
          </w:p>
        </w:tc>
        <w:tc>
          <w:tcPr>
            <w:tcW w:w="1705" w:type="dxa"/>
          </w:tcPr>
          <w:p w14:paraId="1C54DDBD"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100%</w:t>
            </w:r>
          </w:p>
        </w:tc>
      </w:tr>
      <w:tr w:rsidR="0056070C" w14:paraId="6085F0D8" w14:textId="77777777">
        <w:tc>
          <w:tcPr>
            <w:tcW w:w="1704" w:type="dxa"/>
            <w:vMerge/>
            <w:vAlign w:val="center"/>
          </w:tcPr>
          <w:p w14:paraId="59C73674" w14:textId="77777777" w:rsidR="0056070C" w:rsidRDefault="0056070C">
            <w:pPr>
              <w:jc w:val="center"/>
              <w:rPr>
                <w:rFonts w:ascii="宋体" w:eastAsia="宋体" w:hAnsi="宋体" w:cs="宋体"/>
                <w:kern w:val="0"/>
                <w:sz w:val="24"/>
                <w:szCs w:val="24"/>
              </w:rPr>
            </w:pPr>
          </w:p>
        </w:tc>
        <w:tc>
          <w:tcPr>
            <w:tcW w:w="1704" w:type="dxa"/>
          </w:tcPr>
          <w:p w14:paraId="4A80E392"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CCC</w:t>
            </w:r>
          </w:p>
        </w:tc>
        <w:tc>
          <w:tcPr>
            <w:tcW w:w="1704" w:type="dxa"/>
          </w:tcPr>
          <w:p w14:paraId="4DA7334D"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6.0%</w:t>
            </w:r>
          </w:p>
        </w:tc>
        <w:tc>
          <w:tcPr>
            <w:tcW w:w="1705" w:type="dxa"/>
          </w:tcPr>
          <w:p w14:paraId="2267F3F4"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50%</w:t>
            </w:r>
          </w:p>
        </w:tc>
        <w:tc>
          <w:tcPr>
            <w:tcW w:w="1705" w:type="dxa"/>
          </w:tcPr>
          <w:p w14:paraId="0906AF76"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100%</w:t>
            </w:r>
          </w:p>
        </w:tc>
      </w:tr>
      <w:tr w:rsidR="0056070C" w14:paraId="2E1D5472" w14:textId="77777777">
        <w:tc>
          <w:tcPr>
            <w:tcW w:w="1704" w:type="dxa"/>
            <w:vMerge w:val="restart"/>
            <w:vAlign w:val="center"/>
          </w:tcPr>
          <w:p w14:paraId="0D758A67"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信用，指数</w:t>
            </w:r>
          </w:p>
        </w:tc>
        <w:tc>
          <w:tcPr>
            <w:tcW w:w="1704" w:type="dxa"/>
          </w:tcPr>
          <w:p w14:paraId="714B5586"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IG</w:t>
            </w:r>
          </w:p>
        </w:tc>
        <w:tc>
          <w:tcPr>
            <w:tcW w:w="1704" w:type="dxa"/>
          </w:tcPr>
          <w:p w14:paraId="721CFA26"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0.38%</w:t>
            </w:r>
          </w:p>
        </w:tc>
        <w:tc>
          <w:tcPr>
            <w:tcW w:w="1705" w:type="dxa"/>
          </w:tcPr>
          <w:p w14:paraId="5CB58967"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1705" w:type="dxa"/>
          </w:tcPr>
          <w:p w14:paraId="3B65092A"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80%</w:t>
            </w:r>
          </w:p>
        </w:tc>
      </w:tr>
      <w:tr w:rsidR="0056070C" w14:paraId="2B76C80D" w14:textId="77777777">
        <w:tc>
          <w:tcPr>
            <w:tcW w:w="1704" w:type="dxa"/>
            <w:vMerge/>
            <w:vAlign w:val="center"/>
          </w:tcPr>
          <w:p w14:paraId="363D5821" w14:textId="77777777" w:rsidR="0056070C" w:rsidRDefault="0056070C">
            <w:pPr>
              <w:jc w:val="center"/>
              <w:rPr>
                <w:rFonts w:ascii="宋体" w:eastAsia="宋体" w:hAnsi="宋体" w:cs="宋体"/>
                <w:kern w:val="0"/>
                <w:sz w:val="24"/>
                <w:szCs w:val="24"/>
              </w:rPr>
            </w:pPr>
          </w:p>
        </w:tc>
        <w:tc>
          <w:tcPr>
            <w:tcW w:w="1704" w:type="dxa"/>
          </w:tcPr>
          <w:p w14:paraId="6A6AC519"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SG</w:t>
            </w:r>
          </w:p>
        </w:tc>
        <w:tc>
          <w:tcPr>
            <w:tcW w:w="1704" w:type="dxa"/>
          </w:tcPr>
          <w:p w14:paraId="1D184B7E"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1.06%</w:t>
            </w:r>
          </w:p>
        </w:tc>
        <w:tc>
          <w:tcPr>
            <w:tcW w:w="1705" w:type="dxa"/>
          </w:tcPr>
          <w:p w14:paraId="4814DA78"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80%</w:t>
            </w:r>
          </w:p>
        </w:tc>
        <w:tc>
          <w:tcPr>
            <w:tcW w:w="1705" w:type="dxa"/>
          </w:tcPr>
          <w:p w14:paraId="630E0230"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80%</w:t>
            </w:r>
          </w:p>
        </w:tc>
      </w:tr>
      <w:tr w:rsidR="0056070C" w14:paraId="4698C1E5" w14:textId="77777777">
        <w:tc>
          <w:tcPr>
            <w:tcW w:w="1704" w:type="dxa"/>
            <w:vAlign w:val="center"/>
          </w:tcPr>
          <w:p w14:paraId="06E561AF"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股票，单一</w:t>
            </w:r>
          </w:p>
        </w:tc>
        <w:tc>
          <w:tcPr>
            <w:tcW w:w="1704" w:type="dxa"/>
            <w:vMerge w:val="restart"/>
            <w:vAlign w:val="center"/>
          </w:tcPr>
          <w:p w14:paraId="28E12A94"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w:t>
            </w:r>
          </w:p>
        </w:tc>
        <w:tc>
          <w:tcPr>
            <w:tcW w:w="1704" w:type="dxa"/>
          </w:tcPr>
          <w:p w14:paraId="612B257D"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32%</w:t>
            </w:r>
          </w:p>
        </w:tc>
        <w:tc>
          <w:tcPr>
            <w:tcW w:w="1705" w:type="dxa"/>
          </w:tcPr>
          <w:p w14:paraId="4F4A0F51"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1705" w:type="dxa"/>
          </w:tcPr>
          <w:p w14:paraId="673A6745"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120%</w:t>
            </w:r>
          </w:p>
        </w:tc>
      </w:tr>
      <w:tr w:rsidR="0056070C" w14:paraId="3107504A" w14:textId="77777777">
        <w:tc>
          <w:tcPr>
            <w:tcW w:w="1704" w:type="dxa"/>
            <w:vAlign w:val="center"/>
          </w:tcPr>
          <w:p w14:paraId="6D534362"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股票，指数</w:t>
            </w:r>
          </w:p>
        </w:tc>
        <w:tc>
          <w:tcPr>
            <w:tcW w:w="1704" w:type="dxa"/>
            <w:vMerge/>
          </w:tcPr>
          <w:p w14:paraId="2E4CF499" w14:textId="77777777" w:rsidR="0056070C" w:rsidRDefault="0056070C">
            <w:pPr>
              <w:jc w:val="center"/>
              <w:rPr>
                <w:rFonts w:ascii="宋体" w:eastAsia="宋体" w:hAnsi="宋体" w:cs="宋体"/>
                <w:kern w:val="0"/>
                <w:sz w:val="24"/>
                <w:szCs w:val="24"/>
              </w:rPr>
            </w:pPr>
          </w:p>
        </w:tc>
        <w:tc>
          <w:tcPr>
            <w:tcW w:w="1704" w:type="dxa"/>
          </w:tcPr>
          <w:p w14:paraId="59505DEF"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1705" w:type="dxa"/>
          </w:tcPr>
          <w:p w14:paraId="7B30772E"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1705" w:type="dxa"/>
          </w:tcPr>
          <w:p w14:paraId="0D592C5B"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75%</w:t>
            </w:r>
          </w:p>
        </w:tc>
      </w:tr>
      <w:tr w:rsidR="0056070C" w14:paraId="2890612C" w14:textId="77777777">
        <w:tc>
          <w:tcPr>
            <w:tcW w:w="1704" w:type="dxa"/>
            <w:vMerge w:val="restart"/>
            <w:vAlign w:val="center"/>
          </w:tcPr>
          <w:p w14:paraId="009FE753"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商品</w:t>
            </w:r>
          </w:p>
        </w:tc>
        <w:tc>
          <w:tcPr>
            <w:tcW w:w="1704" w:type="dxa"/>
          </w:tcPr>
          <w:p w14:paraId="117A16B9"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电力</w:t>
            </w:r>
          </w:p>
        </w:tc>
        <w:tc>
          <w:tcPr>
            <w:tcW w:w="1704" w:type="dxa"/>
          </w:tcPr>
          <w:p w14:paraId="13C67A32"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1705" w:type="dxa"/>
          </w:tcPr>
          <w:p w14:paraId="404A9DFA"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1705" w:type="dxa"/>
          </w:tcPr>
          <w:p w14:paraId="099B5ECC" w14:textId="77777777" w:rsidR="0056070C" w:rsidRDefault="00BB5E36">
            <w:pPr>
              <w:jc w:val="center"/>
              <w:rPr>
                <w:rFonts w:ascii="宋体" w:eastAsia="宋体" w:hAnsi="宋体" w:cs="宋体"/>
                <w:kern w:val="0"/>
                <w:sz w:val="24"/>
                <w:szCs w:val="24"/>
              </w:rPr>
            </w:pPr>
            <w:r>
              <w:rPr>
                <w:rFonts w:ascii="宋体" w:eastAsia="宋体" w:hAnsi="宋体" w:cs="宋体" w:hint="eastAsia"/>
                <w:kern w:val="0"/>
                <w:sz w:val="24"/>
                <w:szCs w:val="24"/>
              </w:rPr>
              <w:t>150%</w:t>
            </w:r>
          </w:p>
        </w:tc>
      </w:tr>
      <w:tr w:rsidR="0056070C" w14:paraId="1201146D" w14:textId="77777777">
        <w:tc>
          <w:tcPr>
            <w:tcW w:w="1704" w:type="dxa"/>
            <w:vMerge/>
          </w:tcPr>
          <w:p w14:paraId="45EC9D24" w14:textId="77777777" w:rsidR="0056070C" w:rsidRDefault="0056070C">
            <w:pPr>
              <w:jc w:val="center"/>
              <w:rPr>
                <w:rFonts w:ascii="宋体" w:eastAsia="宋体" w:hAnsi="宋体" w:cs="宋体"/>
                <w:kern w:val="0"/>
                <w:sz w:val="24"/>
                <w:szCs w:val="24"/>
              </w:rPr>
            </w:pPr>
          </w:p>
        </w:tc>
        <w:tc>
          <w:tcPr>
            <w:tcW w:w="1704" w:type="dxa"/>
          </w:tcPr>
          <w:p w14:paraId="215544D9"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油</w:t>
            </w:r>
            <w:r>
              <w:rPr>
                <w:rFonts w:ascii="宋体" w:eastAsia="宋体" w:hAnsi="宋体" w:cs="宋体"/>
                <w:kern w:val="0"/>
                <w:sz w:val="24"/>
                <w:szCs w:val="24"/>
              </w:rPr>
              <w:t>/</w:t>
            </w:r>
            <w:r>
              <w:rPr>
                <w:rFonts w:ascii="宋体" w:eastAsia="宋体" w:hAnsi="宋体" w:cs="宋体"/>
                <w:kern w:val="0"/>
                <w:sz w:val="24"/>
                <w:szCs w:val="24"/>
              </w:rPr>
              <w:t>气</w:t>
            </w:r>
          </w:p>
        </w:tc>
        <w:tc>
          <w:tcPr>
            <w:tcW w:w="1704" w:type="dxa"/>
          </w:tcPr>
          <w:p w14:paraId="5F3EF958"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18%</w:t>
            </w:r>
          </w:p>
        </w:tc>
        <w:tc>
          <w:tcPr>
            <w:tcW w:w="1705" w:type="dxa"/>
          </w:tcPr>
          <w:p w14:paraId="0DF08DDF"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40%</w:t>
            </w:r>
          </w:p>
        </w:tc>
        <w:tc>
          <w:tcPr>
            <w:tcW w:w="1705" w:type="dxa"/>
          </w:tcPr>
          <w:p w14:paraId="607F62E0"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70%</w:t>
            </w:r>
          </w:p>
        </w:tc>
      </w:tr>
      <w:tr w:rsidR="0056070C" w14:paraId="653659B6" w14:textId="77777777">
        <w:tc>
          <w:tcPr>
            <w:tcW w:w="1704" w:type="dxa"/>
            <w:vMerge/>
          </w:tcPr>
          <w:p w14:paraId="4E796666" w14:textId="77777777" w:rsidR="0056070C" w:rsidRDefault="0056070C">
            <w:pPr>
              <w:jc w:val="center"/>
              <w:rPr>
                <w:rFonts w:ascii="宋体" w:eastAsia="宋体" w:hAnsi="宋体" w:cs="宋体"/>
                <w:kern w:val="0"/>
                <w:sz w:val="24"/>
                <w:szCs w:val="24"/>
              </w:rPr>
            </w:pPr>
          </w:p>
        </w:tc>
        <w:tc>
          <w:tcPr>
            <w:tcW w:w="1704" w:type="dxa"/>
          </w:tcPr>
          <w:p w14:paraId="225A37DD"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金属</w:t>
            </w:r>
          </w:p>
        </w:tc>
        <w:tc>
          <w:tcPr>
            <w:tcW w:w="1704" w:type="dxa"/>
          </w:tcPr>
          <w:p w14:paraId="7A1DE6D5"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18%</w:t>
            </w:r>
          </w:p>
        </w:tc>
        <w:tc>
          <w:tcPr>
            <w:tcW w:w="1705" w:type="dxa"/>
          </w:tcPr>
          <w:p w14:paraId="682D7981"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40%</w:t>
            </w:r>
          </w:p>
        </w:tc>
        <w:tc>
          <w:tcPr>
            <w:tcW w:w="1705" w:type="dxa"/>
          </w:tcPr>
          <w:p w14:paraId="339B3B15"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70%</w:t>
            </w:r>
          </w:p>
        </w:tc>
      </w:tr>
      <w:tr w:rsidR="0056070C" w14:paraId="0D12B0F2" w14:textId="77777777">
        <w:tc>
          <w:tcPr>
            <w:tcW w:w="1704" w:type="dxa"/>
            <w:vMerge/>
          </w:tcPr>
          <w:p w14:paraId="711C8716" w14:textId="77777777" w:rsidR="0056070C" w:rsidRDefault="0056070C">
            <w:pPr>
              <w:jc w:val="center"/>
              <w:rPr>
                <w:rFonts w:ascii="宋体" w:eastAsia="宋体" w:hAnsi="宋体" w:cs="宋体"/>
                <w:kern w:val="0"/>
                <w:sz w:val="24"/>
                <w:szCs w:val="24"/>
              </w:rPr>
            </w:pPr>
          </w:p>
        </w:tc>
        <w:tc>
          <w:tcPr>
            <w:tcW w:w="1704" w:type="dxa"/>
          </w:tcPr>
          <w:p w14:paraId="6E774D60"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农业</w:t>
            </w:r>
          </w:p>
        </w:tc>
        <w:tc>
          <w:tcPr>
            <w:tcW w:w="1704" w:type="dxa"/>
          </w:tcPr>
          <w:p w14:paraId="71E05BC6"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18%</w:t>
            </w:r>
          </w:p>
        </w:tc>
        <w:tc>
          <w:tcPr>
            <w:tcW w:w="1705" w:type="dxa"/>
          </w:tcPr>
          <w:p w14:paraId="472DBD88"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40%</w:t>
            </w:r>
          </w:p>
        </w:tc>
        <w:tc>
          <w:tcPr>
            <w:tcW w:w="1705" w:type="dxa"/>
          </w:tcPr>
          <w:p w14:paraId="40CCD4F6"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70%</w:t>
            </w:r>
          </w:p>
        </w:tc>
      </w:tr>
      <w:tr w:rsidR="0056070C" w14:paraId="4B308B43" w14:textId="77777777">
        <w:tc>
          <w:tcPr>
            <w:tcW w:w="1704" w:type="dxa"/>
            <w:vMerge/>
          </w:tcPr>
          <w:p w14:paraId="211AE3A5" w14:textId="77777777" w:rsidR="0056070C" w:rsidRDefault="0056070C">
            <w:pPr>
              <w:jc w:val="center"/>
              <w:rPr>
                <w:rFonts w:ascii="宋体" w:eastAsia="宋体" w:hAnsi="宋体" w:cs="宋体"/>
                <w:kern w:val="0"/>
                <w:sz w:val="24"/>
                <w:szCs w:val="24"/>
              </w:rPr>
            </w:pPr>
          </w:p>
        </w:tc>
        <w:tc>
          <w:tcPr>
            <w:tcW w:w="1704" w:type="dxa"/>
          </w:tcPr>
          <w:p w14:paraId="1F9BFF78"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其他</w:t>
            </w:r>
          </w:p>
        </w:tc>
        <w:tc>
          <w:tcPr>
            <w:tcW w:w="1704" w:type="dxa"/>
          </w:tcPr>
          <w:p w14:paraId="3EA45FDB"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18%</w:t>
            </w:r>
          </w:p>
        </w:tc>
        <w:tc>
          <w:tcPr>
            <w:tcW w:w="1705" w:type="dxa"/>
          </w:tcPr>
          <w:p w14:paraId="42FE366A"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40%</w:t>
            </w:r>
          </w:p>
        </w:tc>
        <w:tc>
          <w:tcPr>
            <w:tcW w:w="1705" w:type="dxa"/>
          </w:tcPr>
          <w:p w14:paraId="2D7A62E4" w14:textId="77777777" w:rsidR="0056070C" w:rsidRDefault="00BB5E36">
            <w:pPr>
              <w:jc w:val="center"/>
              <w:rPr>
                <w:rFonts w:ascii="宋体" w:eastAsia="宋体" w:hAnsi="宋体" w:cs="宋体"/>
                <w:kern w:val="0"/>
                <w:sz w:val="24"/>
                <w:szCs w:val="24"/>
              </w:rPr>
            </w:pPr>
            <w:r>
              <w:rPr>
                <w:rFonts w:ascii="宋体" w:eastAsia="宋体" w:hAnsi="宋体" w:cs="宋体"/>
                <w:kern w:val="0"/>
                <w:sz w:val="24"/>
                <w:szCs w:val="24"/>
              </w:rPr>
              <w:t>70%</w:t>
            </w:r>
          </w:p>
        </w:tc>
      </w:tr>
    </w:tbl>
    <w:p w14:paraId="205B594A"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）商业银行可选择以下方法之一，计算利率类衍生工具单个抵消组合的有效名义本金：</w:t>
      </w:r>
    </w:p>
    <w:p w14:paraId="6B7D3E74"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a.</w:t>
      </w:r>
      <w:r>
        <w:rPr>
          <w:rFonts w:ascii="仿宋_GB2312" w:eastAsia="仿宋_GB2312" w:hAnsi="Times New Roman" w:cs="Times New Roman" w:hint="eastAsia"/>
          <w:bCs/>
          <w:sz w:val="30"/>
          <w:szCs w:val="30"/>
        </w:rPr>
        <w:t>考虑跨期限抵消</w:t>
      </w:r>
    </w:p>
    <w:p w14:paraId="3ED1C86D" w14:textId="77777777" w:rsidR="0056070C" w:rsidRDefault="00BB5E36">
      <w:pPr>
        <w:spacing w:beforeLines="50" w:before="156" w:afterLines="50" w:after="156" w:line="800" w:lineRule="exact"/>
        <w:jc w:val="center"/>
        <w:rPr>
          <w:rFonts w:ascii="仿宋_GB2312" w:eastAsia="仿宋_GB2312" w:hAnsi="Times New Roman" w:cs="Times New Roman"/>
          <w:sz w:val="30"/>
          <w:szCs w:val="30"/>
        </w:rPr>
      </w:pPr>
      <w:r>
        <w:rPr>
          <w:rFonts w:ascii="仿宋_GB2312" w:eastAsia="仿宋_GB2312" w:hAnsi="Times New Roman" w:cs="Times New Roman"/>
          <w:noProof/>
          <w:sz w:val="30"/>
          <w:szCs w:val="30"/>
        </w:rPr>
        <w:drawing>
          <wp:inline distT="0" distB="0" distL="114300" distR="114300" wp14:anchorId="5E3512E3" wp14:editId="3522709F">
            <wp:extent cx="4876800" cy="44958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4876800" cy="449580"/>
                    </a:xfrm>
                    <a:prstGeom prst="rect">
                      <a:avLst/>
                    </a:prstGeom>
                    <a:noFill/>
                    <a:ln>
                      <a:noFill/>
                    </a:ln>
                  </pic:spPr>
                </pic:pic>
              </a:graphicData>
            </a:graphic>
          </wp:inline>
        </w:drawing>
      </w:r>
    </w:p>
    <w:p w14:paraId="1102C0D0"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b.</w:t>
      </w:r>
      <w:r>
        <w:rPr>
          <w:rFonts w:ascii="仿宋_GB2312" w:eastAsia="仿宋_GB2312" w:hAnsi="Times New Roman" w:cs="Times New Roman" w:hint="eastAsia"/>
          <w:bCs/>
          <w:sz w:val="30"/>
          <w:szCs w:val="30"/>
        </w:rPr>
        <w:t>不考虑跨期限抵消</w:t>
      </w:r>
    </w:p>
    <w:p w14:paraId="31AB9C6B" w14:textId="77777777" w:rsidR="0056070C" w:rsidRDefault="00BB5E36">
      <w:pPr>
        <w:spacing w:beforeLines="50" w:before="156" w:afterLines="50" w:after="156" w:line="480" w:lineRule="exact"/>
        <w:ind w:firstLineChars="200" w:firstLine="600"/>
        <w:jc w:val="center"/>
        <w:rPr>
          <w:rFonts w:ascii="仿宋_GB2312" w:eastAsia="仿宋_GB2312" w:hAnsi="Calibri" w:cs="Times New Roman"/>
          <w:position w:val="-16"/>
          <w:sz w:val="30"/>
          <w:szCs w:val="30"/>
        </w:rPr>
      </w:pPr>
      <w:r>
        <w:rPr>
          <w:rFonts w:ascii="仿宋_GB2312" w:eastAsia="仿宋_GB2312" w:hAnsi="Calibri" w:cs="Times New Roman" w:hint="eastAsia"/>
          <w:noProof/>
          <w:position w:val="-16"/>
          <w:sz w:val="30"/>
          <w:szCs w:val="30"/>
        </w:rPr>
        <w:object w:dxaOrig="3787" w:dyaOrig="453" w14:anchorId="05475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style="width:189.7pt;height:22.85pt;mso-width-percent:0;mso-height-percent:0;mso-width-percent:0;mso-height-percent:0" o:ole="">
            <v:imagedata r:id="rId20" o:title=""/>
          </v:shape>
          <o:OLEObject Type="Embed" ProgID="Equation.DSMT4" ShapeID="_x0000_i1039" DrawAspect="Content" ObjectID="_1761140345" r:id="rId21"/>
        </w:object>
      </w:r>
    </w:p>
    <w:p w14:paraId="1F9C78D5"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利率类衍生工具应先计算单个抵消组合</w:t>
      </w:r>
      <w:r>
        <w:rPr>
          <w:rFonts w:ascii="仿宋_GB2312" w:eastAsia="仿宋_GB2312" w:hAnsi="Times New Roman" w:cs="Times New Roman" w:hint="eastAsia"/>
          <w:bCs/>
          <w:sz w:val="30"/>
          <w:szCs w:val="30"/>
        </w:rPr>
        <w:t>j</w:t>
      </w:r>
      <w:r>
        <w:rPr>
          <w:rFonts w:ascii="仿宋_GB2312" w:eastAsia="仿宋_GB2312" w:hAnsi="Times New Roman" w:cs="Times New Roman" w:hint="eastAsia"/>
          <w:bCs/>
          <w:sz w:val="30"/>
          <w:szCs w:val="30"/>
        </w:rPr>
        <w:t>下各时段内的有效名义本金，时段应根据交易终止日划分为三种：少于</w:t>
      </w: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年，</w:t>
      </w: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年至</w:t>
      </w: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年之间，大于</w:t>
      </w: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年。各时段内有效名义本金计算公式如下：</w:t>
      </w:r>
    </w:p>
    <w:p w14:paraId="50D4538D" w14:textId="77777777" w:rsidR="0056070C" w:rsidRDefault="00BB5E36">
      <w:pPr>
        <w:jc w:val="center"/>
        <w:rPr>
          <w:rFonts w:ascii="仿宋_GB2312" w:eastAsia="仿宋_GB2312" w:hAnsi="Times New Roman" w:cs="Times New Roman"/>
          <w:position w:val="-28"/>
          <w:sz w:val="30"/>
          <w:szCs w:val="30"/>
        </w:rPr>
      </w:pPr>
      <w:r>
        <w:rPr>
          <w:rFonts w:ascii="仿宋_GB2312" w:eastAsia="仿宋_GB2312" w:hAnsi="Times New Roman" w:cs="Times New Roman"/>
          <w:noProof/>
          <w:position w:val="-28"/>
          <w:sz w:val="30"/>
          <w:szCs w:val="30"/>
        </w:rPr>
        <w:drawing>
          <wp:inline distT="0" distB="0" distL="114300" distR="114300" wp14:anchorId="4FB6FBA1" wp14:editId="39E03A56">
            <wp:extent cx="1661160" cy="426720"/>
            <wp:effectExtent l="0" t="0" r="0" b="0"/>
            <wp:docPr id="1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pic:cNvPicPr>
                      <a:picLocks noChangeAspect="1"/>
                    </pic:cNvPicPr>
                  </pic:nvPicPr>
                  <pic:blipFill>
                    <a:blip r:embed="rId22"/>
                    <a:stretch>
                      <a:fillRect/>
                    </a:stretch>
                  </pic:blipFill>
                  <pic:spPr>
                    <a:xfrm>
                      <a:off x="0" y="0"/>
                      <a:ext cx="1661160" cy="426720"/>
                    </a:xfrm>
                    <a:prstGeom prst="rect">
                      <a:avLst/>
                    </a:prstGeom>
                    <a:noFill/>
                    <a:ln>
                      <a:noFill/>
                    </a:ln>
                  </pic:spPr>
                </pic:pic>
              </a:graphicData>
            </a:graphic>
          </wp:inline>
        </w:drawing>
      </w:r>
    </w:p>
    <w:p w14:paraId="7C962FB2"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lastRenderedPageBreak/>
        <w:t>其中：</w:t>
      </w:r>
    </w:p>
    <w:p w14:paraId="28B0B9F3"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δ为监管得尔塔系数，按照表</w:t>
      </w: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的分类计算。</w:t>
      </w:r>
      <w:r>
        <w:rPr>
          <w:rFonts w:ascii="仿宋_GB2312" w:eastAsia="仿宋_GB2312" w:hAnsi="Times New Roman" w:cs="Times New Roman" w:hint="eastAsia"/>
          <w:bCs/>
          <w:sz w:val="30"/>
          <w:szCs w:val="30"/>
        </w:rPr>
        <w:t xml:space="preserve"> </w:t>
      </w:r>
    </w:p>
    <w:p w14:paraId="1EDA638A"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d</w:t>
      </w:r>
      <w:r>
        <w:rPr>
          <w:rFonts w:ascii="仿宋_GB2312" w:eastAsia="仿宋_GB2312" w:hAnsi="Times New Roman" w:cs="Times New Roman" w:hint="eastAsia"/>
          <w:bCs/>
          <w:sz w:val="30"/>
          <w:szCs w:val="30"/>
        </w:rPr>
        <w:t>为调整后的名义本金。</w:t>
      </w:r>
    </w:p>
    <w:p w14:paraId="3B296AD1"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MF</w:t>
      </w:r>
      <w:r>
        <w:rPr>
          <w:rFonts w:ascii="仿宋_GB2312" w:eastAsia="仿宋_GB2312" w:hAnsi="Times New Roman" w:cs="Times New Roman" w:hint="eastAsia"/>
          <w:bCs/>
          <w:sz w:val="30"/>
          <w:szCs w:val="30"/>
        </w:rPr>
        <w:t>为反映不同类型衍生工具交易持有期的期限因子。</w:t>
      </w:r>
    </w:p>
    <w:p w14:paraId="3EF3AAEB" w14:textId="77777777" w:rsidR="0056070C" w:rsidRDefault="00BB5E36">
      <w:pPr>
        <w:widowControl/>
        <w:spacing w:line="480" w:lineRule="exact"/>
        <w:ind w:firstLineChars="200" w:firstLine="562"/>
        <w:jc w:val="center"/>
        <w:rPr>
          <w:rFonts w:ascii="Times New Roman" w:eastAsia="楷体_GB2312" w:hAnsi="Times New Roman" w:cs="Times New Roman"/>
          <w:b/>
          <w:sz w:val="28"/>
          <w:szCs w:val="28"/>
        </w:rPr>
      </w:pPr>
      <w:r>
        <w:rPr>
          <w:rFonts w:ascii="Times New Roman" w:eastAsia="楷体_GB2312" w:hAnsi="Times New Roman" w:cs="Times New Roman"/>
          <w:b/>
          <w:sz w:val="28"/>
          <w:szCs w:val="28"/>
        </w:rPr>
        <w:t>表</w:t>
      </w:r>
      <w:r>
        <w:rPr>
          <w:rFonts w:ascii="楷体_GB2312" w:eastAsia="楷体_GB2312" w:hAnsi="Times New Roman" w:cs="Times New Roman" w:hint="eastAsia"/>
          <w:b/>
          <w:sz w:val="28"/>
          <w:szCs w:val="28"/>
        </w:rPr>
        <w:t>3</w:t>
      </w:r>
      <w:r>
        <w:rPr>
          <w:rFonts w:ascii="Times New Roman" w:eastAsia="楷体_GB2312" w:hAnsi="Times New Roman" w:cs="Times New Roman"/>
          <w:b/>
          <w:sz w:val="28"/>
          <w:szCs w:val="28"/>
        </w:rPr>
        <w:t xml:space="preserve"> </w:t>
      </w:r>
      <w:r>
        <w:rPr>
          <w:rFonts w:ascii="Times New Roman" w:eastAsia="楷体_GB2312" w:hAnsi="Times New Roman" w:cs="Times New Roman"/>
          <w:b/>
          <w:sz w:val="28"/>
          <w:szCs w:val="28"/>
        </w:rPr>
        <w:t>监管得尔塔系数计算方法</w:t>
      </w:r>
    </w:p>
    <w:tbl>
      <w:tblPr>
        <w:tblStyle w:val="af1"/>
        <w:tblW w:w="7996" w:type="dxa"/>
        <w:tblLayout w:type="fixed"/>
        <w:tblLook w:val="04A0" w:firstRow="1" w:lastRow="0" w:firstColumn="1" w:lastColumn="0" w:noHBand="0" w:noVBand="1"/>
      </w:tblPr>
      <w:tblGrid>
        <w:gridCol w:w="2665"/>
        <w:gridCol w:w="2665"/>
        <w:gridCol w:w="2666"/>
      </w:tblGrid>
      <w:tr w:rsidR="0056070C" w14:paraId="0ECF0FB2" w14:textId="77777777">
        <w:tc>
          <w:tcPr>
            <w:tcW w:w="2665" w:type="dxa"/>
            <w:vAlign w:val="center"/>
          </w:tcPr>
          <w:p w14:paraId="24F0CECB" w14:textId="77777777" w:rsidR="0056070C" w:rsidRDefault="00BB5E36">
            <w:pPr>
              <w:jc w:val="center"/>
              <w:rPr>
                <w:rFonts w:ascii="宋体" w:eastAsia="宋体" w:hAnsi="宋体" w:cs="Times New Roman"/>
                <w:b/>
                <w:bCs/>
                <w:kern w:val="0"/>
                <w:sz w:val="22"/>
              </w:rPr>
            </w:pPr>
            <w:r>
              <w:rPr>
                <w:rFonts w:ascii="宋体" w:eastAsia="宋体" w:hAnsi="宋体" w:cs="Times New Roman"/>
                <w:b/>
                <w:bCs/>
                <w:noProof/>
                <w:position w:val="-12"/>
                <w:sz w:val="22"/>
              </w:rPr>
              <w:drawing>
                <wp:inline distT="0" distB="0" distL="114300" distR="114300" wp14:anchorId="6A2ACFD4" wp14:editId="0773E903">
                  <wp:extent cx="152400" cy="228600"/>
                  <wp:effectExtent l="0" t="0" r="0" b="0"/>
                  <wp:docPr id="18" name="图片 19"/>
                  <wp:cNvGraphicFramePr/>
                  <a:graphic xmlns:a="http://schemas.openxmlformats.org/drawingml/2006/main">
                    <a:graphicData uri="http://schemas.openxmlformats.org/drawingml/2006/picture">
                      <pic:pic xmlns:pic="http://schemas.openxmlformats.org/drawingml/2006/picture">
                        <pic:nvPicPr>
                          <pic:cNvPr id="18" name="图片 19"/>
                          <pic:cNvPicPr/>
                        </pic:nvPicPr>
                        <pic:blipFill>
                          <a:blip r:embed="rId23"/>
                          <a:stretch>
                            <a:fillRect/>
                          </a:stretch>
                        </pic:blipFill>
                        <pic:spPr>
                          <a:xfrm>
                            <a:off x="0" y="0"/>
                            <a:ext cx="152400" cy="228600"/>
                          </a:xfrm>
                          <a:prstGeom prst="rect">
                            <a:avLst/>
                          </a:prstGeom>
                          <a:noFill/>
                          <a:ln>
                            <a:noFill/>
                          </a:ln>
                        </pic:spPr>
                      </pic:pic>
                    </a:graphicData>
                  </a:graphic>
                </wp:inline>
              </w:drawing>
            </w:r>
          </w:p>
        </w:tc>
        <w:tc>
          <w:tcPr>
            <w:tcW w:w="2665" w:type="dxa"/>
            <w:vAlign w:val="center"/>
          </w:tcPr>
          <w:p w14:paraId="4539F7EB" w14:textId="77777777" w:rsidR="0056070C" w:rsidRDefault="00BB5E36">
            <w:pPr>
              <w:jc w:val="center"/>
              <w:rPr>
                <w:rFonts w:ascii="宋体" w:eastAsia="宋体" w:hAnsi="宋体" w:cs="Times New Roman"/>
                <w:b/>
                <w:bCs/>
                <w:kern w:val="0"/>
                <w:sz w:val="22"/>
              </w:rPr>
            </w:pPr>
            <w:r>
              <w:rPr>
                <w:rFonts w:ascii="宋体" w:eastAsia="宋体" w:hAnsi="宋体" w:cs="Times New Roman"/>
                <w:b/>
                <w:bCs/>
                <w:kern w:val="0"/>
                <w:sz w:val="22"/>
              </w:rPr>
              <w:t>主要风险因子的多头</w:t>
            </w:r>
          </w:p>
        </w:tc>
        <w:tc>
          <w:tcPr>
            <w:tcW w:w="2666" w:type="dxa"/>
            <w:vAlign w:val="center"/>
          </w:tcPr>
          <w:p w14:paraId="5BE8D8B9" w14:textId="77777777" w:rsidR="0056070C" w:rsidRDefault="00BB5E36">
            <w:pPr>
              <w:jc w:val="center"/>
              <w:rPr>
                <w:rFonts w:ascii="宋体" w:eastAsia="宋体" w:hAnsi="宋体" w:cs="Times New Roman"/>
                <w:b/>
                <w:bCs/>
                <w:kern w:val="0"/>
                <w:sz w:val="22"/>
              </w:rPr>
            </w:pPr>
            <w:r>
              <w:rPr>
                <w:rFonts w:ascii="宋体" w:eastAsia="宋体" w:hAnsi="宋体" w:cs="Times New Roman"/>
                <w:b/>
                <w:bCs/>
                <w:kern w:val="0"/>
                <w:sz w:val="22"/>
              </w:rPr>
              <w:t>主要风险因子的空头</w:t>
            </w:r>
          </w:p>
        </w:tc>
      </w:tr>
      <w:tr w:rsidR="0056070C" w14:paraId="27425060" w14:textId="77777777">
        <w:tc>
          <w:tcPr>
            <w:tcW w:w="2665" w:type="dxa"/>
            <w:vAlign w:val="center"/>
          </w:tcPr>
          <w:p w14:paraId="3899D504" w14:textId="77777777" w:rsidR="0056070C" w:rsidRDefault="00BB5E36">
            <w:pPr>
              <w:jc w:val="center"/>
              <w:rPr>
                <w:rFonts w:ascii="宋体" w:eastAsia="宋体" w:hAnsi="宋体" w:cs="Times New Roman"/>
                <w:kern w:val="0"/>
                <w:sz w:val="22"/>
              </w:rPr>
            </w:pPr>
            <w:r>
              <w:rPr>
                <w:rFonts w:ascii="宋体" w:eastAsia="宋体" w:hAnsi="宋体" w:cs="Times New Roman"/>
                <w:kern w:val="0"/>
                <w:sz w:val="22"/>
              </w:rPr>
              <w:t>非期权非</w:t>
            </w:r>
            <w:r>
              <w:rPr>
                <w:rFonts w:ascii="宋体" w:eastAsia="宋体" w:hAnsi="宋体" w:cs="Times New Roman"/>
                <w:i/>
                <w:iCs/>
                <w:kern w:val="0"/>
                <w:sz w:val="22"/>
              </w:rPr>
              <w:t>CDO</w:t>
            </w:r>
            <w:r>
              <w:rPr>
                <w:rFonts w:ascii="宋体" w:eastAsia="宋体" w:hAnsi="宋体" w:cs="Times New Roman"/>
                <w:kern w:val="0"/>
                <w:sz w:val="22"/>
              </w:rPr>
              <w:t>产品</w:t>
            </w:r>
          </w:p>
        </w:tc>
        <w:tc>
          <w:tcPr>
            <w:tcW w:w="2665" w:type="dxa"/>
            <w:vAlign w:val="center"/>
          </w:tcPr>
          <w:p w14:paraId="008DBA85" w14:textId="77777777" w:rsidR="0056070C" w:rsidRDefault="00BB5E36">
            <w:pPr>
              <w:jc w:val="center"/>
              <w:rPr>
                <w:rFonts w:ascii="宋体" w:eastAsia="宋体" w:hAnsi="宋体" w:cs="Times New Roman"/>
                <w:kern w:val="0"/>
                <w:sz w:val="22"/>
              </w:rPr>
            </w:pPr>
            <w:r>
              <w:rPr>
                <w:rFonts w:ascii="宋体" w:eastAsia="宋体" w:hAnsi="宋体" w:cs="Times New Roman"/>
                <w:kern w:val="0"/>
                <w:sz w:val="22"/>
              </w:rPr>
              <w:t>+1</w:t>
            </w:r>
          </w:p>
        </w:tc>
        <w:tc>
          <w:tcPr>
            <w:tcW w:w="2666" w:type="dxa"/>
            <w:vAlign w:val="center"/>
          </w:tcPr>
          <w:p w14:paraId="58393F68" w14:textId="77777777" w:rsidR="0056070C" w:rsidRDefault="00BB5E36">
            <w:pPr>
              <w:jc w:val="center"/>
              <w:rPr>
                <w:rFonts w:ascii="宋体" w:eastAsia="宋体" w:hAnsi="宋体" w:cs="Times New Roman"/>
                <w:kern w:val="0"/>
                <w:sz w:val="22"/>
              </w:rPr>
            </w:pPr>
            <w:r>
              <w:rPr>
                <w:rFonts w:ascii="宋体" w:eastAsia="宋体" w:hAnsi="宋体" w:cs="Times New Roman"/>
                <w:kern w:val="0"/>
                <w:sz w:val="22"/>
              </w:rPr>
              <w:t>-1</w:t>
            </w:r>
          </w:p>
        </w:tc>
      </w:tr>
    </w:tbl>
    <w:p w14:paraId="36123EC7" w14:textId="77777777" w:rsidR="0056070C" w:rsidRDefault="0056070C">
      <w:pPr>
        <w:jc w:val="center"/>
        <w:rPr>
          <w:rFonts w:ascii="Times New Roman" w:eastAsia="宋体" w:hAnsi="Times New Roman" w:cs="Times New Roman"/>
          <w:sz w:val="24"/>
          <w:szCs w:val="24"/>
        </w:rPr>
      </w:pPr>
    </w:p>
    <w:tbl>
      <w:tblPr>
        <w:tblW w:w="0" w:type="auto"/>
        <w:tblLayout w:type="fixed"/>
        <w:tblLook w:val="04A0" w:firstRow="1" w:lastRow="0" w:firstColumn="1" w:lastColumn="0" w:noHBand="0" w:noVBand="1"/>
      </w:tblPr>
      <w:tblGrid>
        <w:gridCol w:w="1636"/>
        <w:gridCol w:w="3354"/>
        <w:gridCol w:w="3306"/>
      </w:tblGrid>
      <w:tr w:rsidR="0056070C" w14:paraId="6BA8F669" w14:textId="77777777">
        <w:tc>
          <w:tcPr>
            <w:tcW w:w="1636" w:type="dxa"/>
            <w:tcBorders>
              <w:top w:val="single" w:sz="4" w:space="0" w:color="000000"/>
              <w:left w:val="single" w:sz="4" w:space="0" w:color="000000"/>
              <w:bottom w:val="single" w:sz="4" w:space="0" w:color="000000"/>
              <w:right w:val="single" w:sz="4" w:space="0" w:color="000000"/>
            </w:tcBorders>
            <w:vAlign w:val="center"/>
          </w:tcPr>
          <w:p w14:paraId="74FF3234" w14:textId="77777777" w:rsidR="0056070C" w:rsidRDefault="00BB5E36">
            <w:pPr>
              <w:widowControl/>
              <w:jc w:val="center"/>
              <w:rPr>
                <w:rFonts w:ascii="宋体" w:eastAsia="宋体" w:hAnsi="宋体" w:cs="Times New Roman"/>
                <w:b/>
                <w:bCs/>
                <w:kern w:val="0"/>
                <w:sz w:val="22"/>
              </w:rPr>
            </w:pPr>
            <w:r>
              <w:rPr>
                <w:rFonts w:ascii="宋体" w:eastAsia="宋体" w:hAnsi="宋体" w:cs="Times New Roman"/>
                <w:b/>
                <w:bCs/>
                <w:noProof/>
                <w:kern w:val="0"/>
                <w:position w:val="-12"/>
                <w:sz w:val="22"/>
              </w:rPr>
              <w:drawing>
                <wp:inline distT="0" distB="0" distL="114300" distR="114300" wp14:anchorId="04BEC846" wp14:editId="2615D10A">
                  <wp:extent cx="152400" cy="228600"/>
                  <wp:effectExtent l="0" t="0" r="0" b="0"/>
                  <wp:docPr id="19" name="图片 20"/>
                  <wp:cNvGraphicFramePr/>
                  <a:graphic xmlns:a="http://schemas.openxmlformats.org/drawingml/2006/main">
                    <a:graphicData uri="http://schemas.openxmlformats.org/drawingml/2006/picture">
                      <pic:pic xmlns:pic="http://schemas.openxmlformats.org/drawingml/2006/picture">
                        <pic:nvPicPr>
                          <pic:cNvPr id="19" name="图片 20"/>
                          <pic:cNvPicPr/>
                        </pic:nvPicPr>
                        <pic:blipFill>
                          <a:blip r:embed="rId23"/>
                          <a:stretch>
                            <a:fillRect/>
                          </a:stretch>
                        </pic:blipFill>
                        <pic:spPr>
                          <a:xfrm>
                            <a:off x="0" y="0"/>
                            <a:ext cx="152400" cy="228600"/>
                          </a:xfrm>
                          <a:prstGeom prst="rect">
                            <a:avLst/>
                          </a:prstGeom>
                          <a:noFill/>
                          <a:ln>
                            <a:noFill/>
                          </a:ln>
                        </pic:spPr>
                      </pic:pic>
                    </a:graphicData>
                  </a:graphic>
                </wp:inline>
              </w:drawing>
            </w:r>
          </w:p>
        </w:tc>
        <w:tc>
          <w:tcPr>
            <w:tcW w:w="3354" w:type="dxa"/>
            <w:tcBorders>
              <w:top w:val="single" w:sz="4" w:space="0" w:color="000000"/>
              <w:left w:val="nil"/>
              <w:bottom w:val="single" w:sz="4" w:space="0" w:color="000000"/>
              <w:right w:val="single" w:sz="4" w:space="0" w:color="000000"/>
            </w:tcBorders>
            <w:vAlign w:val="center"/>
          </w:tcPr>
          <w:p w14:paraId="7D35F3E4" w14:textId="77777777" w:rsidR="0056070C" w:rsidRDefault="00BB5E36">
            <w:pPr>
              <w:widowControl/>
              <w:ind w:firstLineChars="200" w:firstLine="442"/>
              <w:jc w:val="center"/>
              <w:rPr>
                <w:rFonts w:ascii="宋体" w:eastAsia="宋体" w:hAnsi="宋体" w:cs="Times New Roman"/>
                <w:b/>
                <w:bCs/>
                <w:kern w:val="0"/>
                <w:sz w:val="22"/>
              </w:rPr>
            </w:pPr>
            <w:r>
              <w:rPr>
                <w:rFonts w:ascii="宋体" w:eastAsia="宋体" w:hAnsi="宋体" w:cs="Times New Roman"/>
                <w:b/>
                <w:bCs/>
                <w:kern w:val="0"/>
                <w:sz w:val="22"/>
              </w:rPr>
              <w:t>买</w:t>
            </w:r>
          </w:p>
        </w:tc>
        <w:tc>
          <w:tcPr>
            <w:tcW w:w="3306" w:type="dxa"/>
            <w:tcBorders>
              <w:top w:val="single" w:sz="4" w:space="0" w:color="000000"/>
              <w:left w:val="nil"/>
              <w:bottom w:val="single" w:sz="4" w:space="0" w:color="000000"/>
              <w:right w:val="single" w:sz="4" w:space="0" w:color="000000"/>
            </w:tcBorders>
            <w:vAlign w:val="center"/>
          </w:tcPr>
          <w:p w14:paraId="19DA6D8A" w14:textId="77777777" w:rsidR="0056070C" w:rsidRDefault="00BB5E36">
            <w:pPr>
              <w:widowControl/>
              <w:ind w:firstLineChars="200" w:firstLine="442"/>
              <w:jc w:val="center"/>
              <w:rPr>
                <w:rFonts w:ascii="宋体" w:eastAsia="宋体" w:hAnsi="宋体" w:cs="Times New Roman"/>
                <w:b/>
                <w:bCs/>
                <w:kern w:val="0"/>
                <w:sz w:val="22"/>
              </w:rPr>
            </w:pPr>
            <w:r>
              <w:rPr>
                <w:rFonts w:ascii="宋体" w:eastAsia="宋体" w:hAnsi="宋体" w:cs="Times New Roman"/>
                <w:b/>
                <w:bCs/>
                <w:kern w:val="0"/>
                <w:sz w:val="22"/>
              </w:rPr>
              <w:t>卖</w:t>
            </w:r>
          </w:p>
        </w:tc>
      </w:tr>
      <w:tr w:rsidR="0056070C" w14:paraId="2CFB632D" w14:textId="77777777">
        <w:tc>
          <w:tcPr>
            <w:tcW w:w="1636" w:type="dxa"/>
            <w:tcBorders>
              <w:top w:val="single" w:sz="4" w:space="0" w:color="000000"/>
              <w:left w:val="single" w:sz="4" w:space="0" w:color="000000"/>
              <w:bottom w:val="single" w:sz="4" w:space="0" w:color="000000"/>
              <w:right w:val="single" w:sz="4" w:space="0" w:color="000000"/>
            </w:tcBorders>
            <w:vAlign w:val="center"/>
          </w:tcPr>
          <w:p w14:paraId="4C020B96" w14:textId="77777777" w:rsidR="0056070C" w:rsidRDefault="00BB5E36">
            <w:pPr>
              <w:widowControl/>
              <w:jc w:val="center"/>
              <w:rPr>
                <w:rFonts w:ascii="宋体" w:eastAsia="宋体" w:hAnsi="宋体" w:cs="Times New Roman"/>
                <w:kern w:val="0"/>
                <w:sz w:val="22"/>
              </w:rPr>
            </w:pPr>
            <w:r>
              <w:rPr>
                <w:rFonts w:ascii="宋体" w:eastAsia="宋体" w:hAnsi="宋体" w:cs="Times New Roman"/>
                <w:kern w:val="0"/>
                <w:sz w:val="22"/>
              </w:rPr>
              <w:t>看涨期权</w:t>
            </w:r>
          </w:p>
        </w:tc>
        <w:tc>
          <w:tcPr>
            <w:tcW w:w="3354" w:type="dxa"/>
            <w:tcBorders>
              <w:top w:val="single" w:sz="4" w:space="0" w:color="000000"/>
              <w:left w:val="nil"/>
              <w:bottom w:val="single" w:sz="4" w:space="0" w:color="000000"/>
              <w:right w:val="single" w:sz="4" w:space="0" w:color="000000"/>
            </w:tcBorders>
            <w:vAlign w:val="center"/>
          </w:tcPr>
          <w:p w14:paraId="058353A3" w14:textId="77777777" w:rsidR="0056070C" w:rsidRDefault="00BB5E36">
            <w:pPr>
              <w:widowControl/>
              <w:jc w:val="center"/>
              <w:rPr>
                <w:rFonts w:ascii="宋体" w:eastAsia="宋体" w:hAnsi="宋体" w:cs="Times New Roman"/>
                <w:kern w:val="0"/>
                <w:sz w:val="22"/>
              </w:rPr>
            </w:pPr>
            <w:r>
              <w:rPr>
                <w:rFonts w:ascii="宋体" w:eastAsia="宋体" w:hAnsi="宋体" w:cs="Times New Roman"/>
                <w:noProof/>
                <w:kern w:val="0"/>
                <w:position w:val="-36"/>
                <w:sz w:val="22"/>
              </w:rPr>
              <w:drawing>
                <wp:inline distT="0" distB="0" distL="114300" distR="114300" wp14:anchorId="2E013B89" wp14:editId="0055B484">
                  <wp:extent cx="1905000" cy="533400"/>
                  <wp:effectExtent l="0" t="0" r="0" b="0"/>
                  <wp:docPr id="20" name="图片 21"/>
                  <wp:cNvGraphicFramePr/>
                  <a:graphic xmlns:a="http://schemas.openxmlformats.org/drawingml/2006/main">
                    <a:graphicData uri="http://schemas.openxmlformats.org/drawingml/2006/picture">
                      <pic:pic xmlns:pic="http://schemas.openxmlformats.org/drawingml/2006/picture">
                        <pic:nvPicPr>
                          <pic:cNvPr id="20" name="图片 21"/>
                          <pic:cNvPicPr/>
                        </pic:nvPicPr>
                        <pic:blipFill>
                          <a:blip r:embed="rId24"/>
                          <a:stretch>
                            <a:fillRect/>
                          </a:stretch>
                        </pic:blipFill>
                        <pic:spPr>
                          <a:xfrm>
                            <a:off x="0" y="0"/>
                            <a:ext cx="1905000" cy="533400"/>
                          </a:xfrm>
                          <a:prstGeom prst="rect">
                            <a:avLst/>
                          </a:prstGeom>
                          <a:noFill/>
                          <a:ln>
                            <a:noFill/>
                          </a:ln>
                        </pic:spPr>
                      </pic:pic>
                    </a:graphicData>
                  </a:graphic>
                </wp:inline>
              </w:drawing>
            </w:r>
          </w:p>
        </w:tc>
        <w:tc>
          <w:tcPr>
            <w:tcW w:w="3306" w:type="dxa"/>
            <w:tcBorders>
              <w:top w:val="single" w:sz="4" w:space="0" w:color="000000"/>
              <w:left w:val="nil"/>
              <w:bottom w:val="single" w:sz="4" w:space="0" w:color="000000"/>
              <w:right w:val="single" w:sz="4" w:space="0" w:color="000000"/>
            </w:tcBorders>
            <w:vAlign w:val="center"/>
          </w:tcPr>
          <w:p w14:paraId="1A2C3509" w14:textId="77777777" w:rsidR="0056070C" w:rsidRDefault="00BB5E36">
            <w:pPr>
              <w:widowControl/>
              <w:jc w:val="center"/>
              <w:rPr>
                <w:rFonts w:ascii="宋体" w:eastAsia="宋体" w:hAnsi="宋体" w:cs="Times New Roman"/>
                <w:kern w:val="0"/>
                <w:sz w:val="22"/>
              </w:rPr>
            </w:pPr>
            <w:r>
              <w:rPr>
                <w:rFonts w:ascii="宋体" w:eastAsia="宋体" w:hAnsi="宋体" w:cs="Times New Roman"/>
                <w:noProof/>
                <w:kern w:val="0"/>
                <w:position w:val="-36"/>
                <w:sz w:val="22"/>
              </w:rPr>
              <w:drawing>
                <wp:inline distT="0" distB="0" distL="114300" distR="114300" wp14:anchorId="72FAD2D7" wp14:editId="1B77665D">
                  <wp:extent cx="1905000" cy="533400"/>
                  <wp:effectExtent l="0" t="0" r="0" b="0"/>
                  <wp:docPr id="21" name="图片 22"/>
                  <wp:cNvGraphicFramePr/>
                  <a:graphic xmlns:a="http://schemas.openxmlformats.org/drawingml/2006/main">
                    <a:graphicData uri="http://schemas.openxmlformats.org/drawingml/2006/picture">
                      <pic:pic xmlns:pic="http://schemas.openxmlformats.org/drawingml/2006/picture">
                        <pic:nvPicPr>
                          <pic:cNvPr id="21" name="图片 22"/>
                          <pic:cNvPicPr/>
                        </pic:nvPicPr>
                        <pic:blipFill>
                          <a:blip r:embed="rId25"/>
                          <a:stretch>
                            <a:fillRect/>
                          </a:stretch>
                        </pic:blipFill>
                        <pic:spPr>
                          <a:xfrm>
                            <a:off x="0" y="0"/>
                            <a:ext cx="1905000" cy="533400"/>
                          </a:xfrm>
                          <a:prstGeom prst="rect">
                            <a:avLst/>
                          </a:prstGeom>
                          <a:noFill/>
                          <a:ln>
                            <a:noFill/>
                          </a:ln>
                        </pic:spPr>
                      </pic:pic>
                    </a:graphicData>
                  </a:graphic>
                </wp:inline>
              </w:drawing>
            </w:r>
          </w:p>
        </w:tc>
      </w:tr>
      <w:tr w:rsidR="0056070C" w14:paraId="5CD73C2A" w14:textId="77777777">
        <w:trPr>
          <w:trHeight w:val="966"/>
        </w:trPr>
        <w:tc>
          <w:tcPr>
            <w:tcW w:w="1636" w:type="dxa"/>
            <w:tcBorders>
              <w:top w:val="single" w:sz="4" w:space="0" w:color="000000"/>
              <w:left w:val="single" w:sz="4" w:space="0" w:color="000000"/>
              <w:bottom w:val="single" w:sz="4" w:space="0" w:color="000000"/>
              <w:right w:val="single" w:sz="4" w:space="0" w:color="000000"/>
            </w:tcBorders>
            <w:vAlign w:val="center"/>
          </w:tcPr>
          <w:p w14:paraId="43188512" w14:textId="77777777" w:rsidR="0056070C" w:rsidRDefault="00BB5E36">
            <w:pPr>
              <w:widowControl/>
              <w:jc w:val="center"/>
              <w:rPr>
                <w:rFonts w:ascii="宋体" w:eastAsia="宋体" w:hAnsi="宋体" w:cs="Times New Roman"/>
                <w:kern w:val="0"/>
                <w:sz w:val="22"/>
              </w:rPr>
            </w:pPr>
            <w:r>
              <w:rPr>
                <w:rFonts w:ascii="宋体" w:eastAsia="宋体" w:hAnsi="宋体" w:cs="Times New Roman"/>
                <w:kern w:val="0"/>
                <w:sz w:val="22"/>
              </w:rPr>
              <w:t>看跌期权</w:t>
            </w:r>
          </w:p>
        </w:tc>
        <w:tc>
          <w:tcPr>
            <w:tcW w:w="3354" w:type="dxa"/>
            <w:tcBorders>
              <w:top w:val="single" w:sz="4" w:space="0" w:color="000000"/>
              <w:left w:val="nil"/>
              <w:bottom w:val="single" w:sz="4" w:space="0" w:color="000000"/>
              <w:right w:val="single" w:sz="4" w:space="0" w:color="000000"/>
            </w:tcBorders>
            <w:vAlign w:val="center"/>
          </w:tcPr>
          <w:p w14:paraId="1EB5E792" w14:textId="77777777" w:rsidR="0056070C" w:rsidRDefault="00BB5E36">
            <w:pPr>
              <w:widowControl/>
              <w:jc w:val="center"/>
              <w:rPr>
                <w:rFonts w:ascii="宋体" w:eastAsia="宋体" w:hAnsi="宋体" w:cs="Times New Roman"/>
                <w:kern w:val="0"/>
                <w:sz w:val="22"/>
              </w:rPr>
            </w:pPr>
            <w:r>
              <w:rPr>
                <w:rFonts w:ascii="宋体" w:eastAsia="宋体" w:hAnsi="宋体" w:cs="Times New Roman"/>
                <w:noProof/>
                <w:kern w:val="0"/>
                <w:position w:val="-36"/>
                <w:sz w:val="22"/>
              </w:rPr>
              <w:drawing>
                <wp:inline distT="0" distB="0" distL="114300" distR="114300" wp14:anchorId="4E9EC0FF" wp14:editId="3B5ECDDB">
                  <wp:extent cx="2019300" cy="533400"/>
                  <wp:effectExtent l="0" t="0" r="0" b="0"/>
                  <wp:docPr id="22" name="图片 23"/>
                  <wp:cNvGraphicFramePr/>
                  <a:graphic xmlns:a="http://schemas.openxmlformats.org/drawingml/2006/main">
                    <a:graphicData uri="http://schemas.openxmlformats.org/drawingml/2006/picture">
                      <pic:pic xmlns:pic="http://schemas.openxmlformats.org/drawingml/2006/picture">
                        <pic:nvPicPr>
                          <pic:cNvPr id="22" name="图片 23"/>
                          <pic:cNvPicPr/>
                        </pic:nvPicPr>
                        <pic:blipFill>
                          <a:blip r:embed="rId26"/>
                          <a:stretch>
                            <a:fillRect/>
                          </a:stretch>
                        </pic:blipFill>
                        <pic:spPr>
                          <a:xfrm>
                            <a:off x="0" y="0"/>
                            <a:ext cx="2019300" cy="533400"/>
                          </a:xfrm>
                          <a:prstGeom prst="rect">
                            <a:avLst/>
                          </a:prstGeom>
                          <a:noFill/>
                          <a:ln>
                            <a:noFill/>
                          </a:ln>
                        </pic:spPr>
                      </pic:pic>
                    </a:graphicData>
                  </a:graphic>
                </wp:inline>
              </w:drawing>
            </w:r>
          </w:p>
        </w:tc>
        <w:tc>
          <w:tcPr>
            <w:tcW w:w="3306" w:type="dxa"/>
            <w:tcBorders>
              <w:top w:val="single" w:sz="4" w:space="0" w:color="000000"/>
              <w:left w:val="nil"/>
              <w:bottom w:val="single" w:sz="4" w:space="0" w:color="000000"/>
              <w:right w:val="single" w:sz="4" w:space="0" w:color="000000"/>
            </w:tcBorders>
            <w:vAlign w:val="center"/>
          </w:tcPr>
          <w:p w14:paraId="43819252" w14:textId="77777777" w:rsidR="0056070C" w:rsidRDefault="00BB5E36">
            <w:pPr>
              <w:widowControl/>
              <w:jc w:val="center"/>
              <w:rPr>
                <w:rFonts w:ascii="宋体" w:eastAsia="宋体" w:hAnsi="宋体" w:cs="Times New Roman"/>
                <w:kern w:val="0"/>
                <w:sz w:val="22"/>
              </w:rPr>
            </w:pPr>
            <w:r>
              <w:rPr>
                <w:rFonts w:ascii="宋体" w:eastAsia="宋体" w:hAnsi="宋体" w:cs="Times New Roman"/>
                <w:noProof/>
                <w:kern w:val="0"/>
                <w:position w:val="-36"/>
                <w:sz w:val="22"/>
              </w:rPr>
              <w:drawing>
                <wp:inline distT="0" distB="0" distL="114300" distR="114300" wp14:anchorId="3F0C0E85" wp14:editId="4C95D47D">
                  <wp:extent cx="2019300" cy="533400"/>
                  <wp:effectExtent l="0" t="0" r="0" b="0"/>
                  <wp:docPr id="23" name="图片 24"/>
                  <wp:cNvGraphicFramePr/>
                  <a:graphic xmlns:a="http://schemas.openxmlformats.org/drawingml/2006/main">
                    <a:graphicData uri="http://schemas.openxmlformats.org/drawingml/2006/picture">
                      <pic:pic xmlns:pic="http://schemas.openxmlformats.org/drawingml/2006/picture">
                        <pic:nvPicPr>
                          <pic:cNvPr id="23" name="图片 24"/>
                          <pic:cNvPicPr/>
                        </pic:nvPicPr>
                        <pic:blipFill>
                          <a:blip r:embed="rId27"/>
                          <a:stretch>
                            <a:fillRect/>
                          </a:stretch>
                        </pic:blipFill>
                        <pic:spPr>
                          <a:xfrm>
                            <a:off x="0" y="0"/>
                            <a:ext cx="2019300" cy="533400"/>
                          </a:xfrm>
                          <a:prstGeom prst="rect">
                            <a:avLst/>
                          </a:prstGeom>
                          <a:noFill/>
                          <a:ln>
                            <a:noFill/>
                          </a:ln>
                        </pic:spPr>
                      </pic:pic>
                    </a:graphicData>
                  </a:graphic>
                </wp:inline>
              </w:drawing>
            </w:r>
          </w:p>
        </w:tc>
      </w:tr>
      <w:tr w:rsidR="0056070C" w14:paraId="5A0CA5B2" w14:textId="77777777">
        <w:tc>
          <w:tcPr>
            <w:tcW w:w="8296" w:type="dxa"/>
            <w:gridSpan w:val="3"/>
            <w:tcBorders>
              <w:top w:val="single" w:sz="4" w:space="0" w:color="000000"/>
              <w:left w:val="single" w:sz="4" w:space="0" w:color="000000"/>
              <w:bottom w:val="single" w:sz="4" w:space="0" w:color="000000"/>
              <w:right w:val="single" w:sz="4" w:space="0" w:color="000000"/>
            </w:tcBorders>
          </w:tcPr>
          <w:p w14:paraId="482BF212" w14:textId="77777777" w:rsidR="0056070C" w:rsidRDefault="00BB5E36">
            <w:pPr>
              <w:widowControl/>
              <w:ind w:firstLineChars="200" w:firstLine="440"/>
              <w:rPr>
                <w:rFonts w:ascii="宋体" w:eastAsia="宋体" w:hAnsi="宋体" w:cs="Times New Roman"/>
                <w:kern w:val="0"/>
                <w:sz w:val="22"/>
              </w:rPr>
            </w:pPr>
            <w:r>
              <w:rPr>
                <w:rFonts w:ascii="宋体" w:eastAsia="宋体" w:hAnsi="宋体" w:cs="Times New Roman"/>
                <w:kern w:val="0"/>
                <w:sz w:val="22"/>
              </w:rPr>
              <w:t>公式参数的定义如下：</w:t>
            </w:r>
          </w:p>
          <w:p w14:paraId="58F27C12" w14:textId="77777777" w:rsidR="0056070C" w:rsidRDefault="00BB5E36">
            <w:pPr>
              <w:widowControl/>
              <w:ind w:firstLineChars="200" w:firstLine="440"/>
              <w:rPr>
                <w:rFonts w:ascii="宋体" w:eastAsia="宋体" w:hAnsi="宋体" w:cs="Times New Roman"/>
                <w:kern w:val="0"/>
                <w:sz w:val="22"/>
              </w:rPr>
            </w:pPr>
            <w:r>
              <w:rPr>
                <w:rFonts w:ascii="宋体" w:eastAsia="宋体" w:hAnsi="宋体" w:cs="Times New Roman"/>
                <w:noProof/>
                <w:kern w:val="0"/>
                <w:position w:val="-12"/>
                <w:sz w:val="22"/>
              </w:rPr>
              <w:drawing>
                <wp:inline distT="0" distB="0" distL="114300" distR="114300" wp14:anchorId="2B05A6E3" wp14:editId="12E02663">
                  <wp:extent cx="152400" cy="228600"/>
                  <wp:effectExtent l="0" t="0" r="0" b="0"/>
                  <wp:docPr id="24" name="图片 25"/>
                  <wp:cNvGraphicFramePr/>
                  <a:graphic xmlns:a="http://schemas.openxmlformats.org/drawingml/2006/main">
                    <a:graphicData uri="http://schemas.openxmlformats.org/drawingml/2006/picture">
                      <pic:pic xmlns:pic="http://schemas.openxmlformats.org/drawingml/2006/picture">
                        <pic:nvPicPr>
                          <pic:cNvPr id="24" name="图片 25"/>
                          <pic:cNvPicPr/>
                        </pic:nvPicPr>
                        <pic:blipFill>
                          <a:blip r:embed="rId28"/>
                          <a:stretch>
                            <a:fillRect/>
                          </a:stretch>
                        </pic:blipFill>
                        <pic:spPr>
                          <a:xfrm>
                            <a:off x="0" y="0"/>
                            <a:ext cx="152400" cy="228600"/>
                          </a:xfrm>
                          <a:prstGeom prst="rect">
                            <a:avLst/>
                          </a:prstGeom>
                          <a:noFill/>
                          <a:ln>
                            <a:noFill/>
                          </a:ln>
                        </pic:spPr>
                      </pic:pic>
                    </a:graphicData>
                  </a:graphic>
                </wp:inline>
              </w:drawing>
            </w:r>
            <w:r>
              <w:rPr>
                <w:rFonts w:ascii="宋体" w:eastAsia="宋体" w:hAnsi="宋体" w:cs="Times New Roman"/>
                <w:kern w:val="0"/>
                <w:sz w:val="22"/>
              </w:rPr>
              <w:t>：标的价格（即期，远期，均值等）</w:t>
            </w:r>
          </w:p>
          <w:p w14:paraId="698EAF14" w14:textId="77777777" w:rsidR="0056070C" w:rsidRDefault="00BB5E36">
            <w:pPr>
              <w:widowControl/>
              <w:ind w:firstLineChars="200" w:firstLine="440"/>
              <w:rPr>
                <w:rFonts w:ascii="宋体" w:eastAsia="宋体" w:hAnsi="宋体" w:cs="Times New Roman"/>
                <w:kern w:val="0"/>
                <w:sz w:val="22"/>
              </w:rPr>
            </w:pPr>
            <w:r>
              <w:rPr>
                <w:rFonts w:ascii="宋体" w:eastAsia="宋体" w:hAnsi="宋体" w:cs="Times New Roman"/>
                <w:noProof/>
                <w:kern w:val="0"/>
                <w:position w:val="-12"/>
                <w:sz w:val="22"/>
              </w:rPr>
              <w:drawing>
                <wp:inline distT="0" distB="0" distL="114300" distR="114300" wp14:anchorId="3C2D683A" wp14:editId="35043EC1">
                  <wp:extent cx="190500" cy="228600"/>
                  <wp:effectExtent l="0" t="0" r="0" b="0"/>
                  <wp:docPr id="25" name="图片 26"/>
                  <wp:cNvGraphicFramePr/>
                  <a:graphic xmlns:a="http://schemas.openxmlformats.org/drawingml/2006/main">
                    <a:graphicData uri="http://schemas.openxmlformats.org/drawingml/2006/picture">
                      <pic:pic xmlns:pic="http://schemas.openxmlformats.org/drawingml/2006/picture">
                        <pic:nvPicPr>
                          <pic:cNvPr id="25" name="图片 26"/>
                          <pic:cNvPicPr/>
                        </pic:nvPicPr>
                        <pic:blipFill>
                          <a:blip r:embed="rId29"/>
                          <a:stretch>
                            <a:fillRect/>
                          </a:stretch>
                        </pic:blipFill>
                        <pic:spPr>
                          <a:xfrm>
                            <a:off x="0" y="0"/>
                            <a:ext cx="190500" cy="228600"/>
                          </a:xfrm>
                          <a:prstGeom prst="rect">
                            <a:avLst/>
                          </a:prstGeom>
                          <a:noFill/>
                          <a:ln>
                            <a:noFill/>
                          </a:ln>
                        </pic:spPr>
                      </pic:pic>
                    </a:graphicData>
                  </a:graphic>
                </wp:inline>
              </w:drawing>
            </w:r>
            <w:r>
              <w:rPr>
                <w:rFonts w:ascii="宋体" w:eastAsia="宋体" w:hAnsi="宋体" w:cs="Times New Roman"/>
                <w:kern w:val="0"/>
                <w:sz w:val="22"/>
              </w:rPr>
              <w:t>：执行价格</w:t>
            </w:r>
          </w:p>
          <w:p w14:paraId="21DF8BBA" w14:textId="77777777" w:rsidR="0056070C" w:rsidRDefault="00BB5E36">
            <w:pPr>
              <w:widowControl/>
              <w:ind w:firstLineChars="200" w:firstLine="440"/>
              <w:rPr>
                <w:rFonts w:ascii="宋体" w:eastAsia="宋体" w:hAnsi="宋体" w:cs="Times New Roman"/>
                <w:kern w:val="0"/>
                <w:sz w:val="22"/>
              </w:rPr>
            </w:pPr>
            <w:r>
              <w:rPr>
                <w:rFonts w:ascii="宋体" w:eastAsia="宋体" w:hAnsi="宋体" w:cs="Times New Roman"/>
                <w:noProof/>
                <w:kern w:val="0"/>
                <w:position w:val="-12"/>
                <w:sz w:val="22"/>
              </w:rPr>
              <w:drawing>
                <wp:inline distT="0" distB="0" distL="114300" distR="114300" wp14:anchorId="7EE8491A" wp14:editId="3049663A">
                  <wp:extent cx="144780" cy="228600"/>
                  <wp:effectExtent l="0" t="0" r="0" b="0"/>
                  <wp:docPr id="26" name="图片 27"/>
                  <wp:cNvGraphicFramePr/>
                  <a:graphic xmlns:a="http://schemas.openxmlformats.org/drawingml/2006/main">
                    <a:graphicData uri="http://schemas.openxmlformats.org/drawingml/2006/picture">
                      <pic:pic xmlns:pic="http://schemas.openxmlformats.org/drawingml/2006/picture">
                        <pic:nvPicPr>
                          <pic:cNvPr id="26" name="图片 27"/>
                          <pic:cNvPicPr/>
                        </pic:nvPicPr>
                        <pic:blipFill>
                          <a:blip r:embed="rId30"/>
                          <a:stretch>
                            <a:fillRect/>
                          </a:stretch>
                        </pic:blipFill>
                        <pic:spPr>
                          <a:xfrm>
                            <a:off x="0" y="0"/>
                            <a:ext cx="144780" cy="228600"/>
                          </a:xfrm>
                          <a:prstGeom prst="rect">
                            <a:avLst/>
                          </a:prstGeom>
                          <a:noFill/>
                          <a:ln>
                            <a:noFill/>
                          </a:ln>
                        </pic:spPr>
                      </pic:pic>
                    </a:graphicData>
                  </a:graphic>
                </wp:inline>
              </w:drawing>
            </w:r>
            <w:r>
              <w:rPr>
                <w:rFonts w:ascii="宋体" w:eastAsia="宋体" w:hAnsi="宋体" w:cs="Times New Roman"/>
                <w:kern w:val="0"/>
                <w:sz w:val="22"/>
              </w:rPr>
              <w:t>：期权约定的最终执行日期</w:t>
            </w:r>
          </w:p>
          <w:p w14:paraId="180022E8" w14:textId="77777777" w:rsidR="0056070C" w:rsidRDefault="00BB5E36">
            <w:pPr>
              <w:widowControl/>
              <w:ind w:firstLineChars="200" w:firstLine="440"/>
              <w:rPr>
                <w:rFonts w:ascii="宋体" w:eastAsia="宋体" w:hAnsi="宋体" w:cs="Times New Roman"/>
                <w:kern w:val="0"/>
                <w:sz w:val="22"/>
              </w:rPr>
            </w:pPr>
            <w:r>
              <w:rPr>
                <w:rFonts w:ascii="宋体" w:eastAsia="宋体" w:hAnsi="宋体" w:cs="Times New Roman"/>
                <w:noProof/>
                <w:kern w:val="0"/>
                <w:position w:val="-12"/>
                <w:sz w:val="22"/>
              </w:rPr>
              <w:drawing>
                <wp:inline distT="0" distB="0" distL="114300" distR="114300" wp14:anchorId="0AE39B9C" wp14:editId="58D56FA9">
                  <wp:extent cx="182880" cy="228600"/>
                  <wp:effectExtent l="0" t="0" r="0" b="0"/>
                  <wp:docPr id="27" name="图片 28"/>
                  <wp:cNvGraphicFramePr/>
                  <a:graphic xmlns:a="http://schemas.openxmlformats.org/drawingml/2006/main">
                    <a:graphicData uri="http://schemas.openxmlformats.org/drawingml/2006/picture">
                      <pic:pic xmlns:pic="http://schemas.openxmlformats.org/drawingml/2006/picture">
                        <pic:nvPicPr>
                          <pic:cNvPr id="27" name="图片 28"/>
                          <pic:cNvPicPr/>
                        </pic:nvPicPr>
                        <pic:blipFill>
                          <a:blip r:embed="rId31"/>
                          <a:stretch>
                            <a:fillRect/>
                          </a:stretch>
                        </pic:blipFill>
                        <pic:spPr>
                          <a:xfrm>
                            <a:off x="0" y="0"/>
                            <a:ext cx="182880" cy="228600"/>
                          </a:xfrm>
                          <a:prstGeom prst="rect">
                            <a:avLst/>
                          </a:prstGeom>
                          <a:noFill/>
                          <a:ln>
                            <a:noFill/>
                          </a:ln>
                        </pic:spPr>
                      </pic:pic>
                    </a:graphicData>
                  </a:graphic>
                </wp:inline>
              </w:drawing>
            </w:r>
            <w:r>
              <w:rPr>
                <w:rFonts w:ascii="宋体" w:eastAsia="宋体" w:hAnsi="宋体" w:cs="Times New Roman"/>
                <w:kern w:val="0"/>
                <w:sz w:val="22"/>
              </w:rPr>
              <w:t>：监管波动率，在</w:t>
            </w:r>
            <w:r>
              <w:rPr>
                <w:rFonts w:ascii="宋体" w:eastAsia="宋体" w:hAnsi="宋体" w:cs="Times New Roman" w:hint="eastAsia"/>
                <w:kern w:val="0"/>
                <w:sz w:val="22"/>
              </w:rPr>
              <w:t>表</w:t>
            </w:r>
            <w:r>
              <w:rPr>
                <w:rFonts w:ascii="宋体" w:eastAsia="宋体" w:hAnsi="宋体" w:cs="Times New Roman" w:hint="eastAsia"/>
                <w:kern w:val="0"/>
                <w:sz w:val="22"/>
              </w:rPr>
              <w:t>2</w:t>
            </w:r>
            <w:r>
              <w:rPr>
                <w:rFonts w:ascii="宋体" w:eastAsia="宋体" w:hAnsi="宋体" w:cs="Times New Roman"/>
                <w:kern w:val="0"/>
                <w:sz w:val="22"/>
              </w:rPr>
              <w:t>中查找</w:t>
            </w:r>
          </w:p>
          <w:p w14:paraId="5847EAEF" w14:textId="77777777" w:rsidR="0056070C" w:rsidRDefault="00BB5E36">
            <w:pPr>
              <w:widowControl/>
              <w:ind w:firstLineChars="200" w:firstLine="440"/>
              <w:rPr>
                <w:rFonts w:ascii="宋体" w:eastAsia="宋体" w:hAnsi="宋体" w:cs="Times New Roman"/>
                <w:kern w:val="0"/>
                <w:sz w:val="22"/>
              </w:rPr>
            </w:pPr>
            <w:r>
              <w:rPr>
                <w:rFonts w:ascii="宋体" w:eastAsia="宋体" w:hAnsi="宋体" w:cs="Times New Roman"/>
                <w:noProof/>
                <w:kern w:val="0"/>
                <w:position w:val="-4"/>
                <w:sz w:val="22"/>
              </w:rPr>
              <w:drawing>
                <wp:inline distT="0" distB="0" distL="114300" distR="114300" wp14:anchorId="0F2984E2" wp14:editId="46DB8773">
                  <wp:extent cx="160020" cy="152400"/>
                  <wp:effectExtent l="0" t="0" r="0" b="9525"/>
                  <wp:docPr id="28" name="图片 29"/>
                  <wp:cNvGraphicFramePr/>
                  <a:graphic xmlns:a="http://schemas.openxmlformats.org/drawingml/2006/main">
                    <a:graphicData uri="http://schemas.openxmlformats.org/drawingml/2006/picture">
                      <pic:pic xmlns:pic="http://schemas.openxmlformats.org/drawingml/2006/picture">
                        <pic:nvPicPr>
                          <pic:cNvPr id="28" name="图片 29"/>
                          <pic:cNvPicPr/>
                        </pic:nvPicPr>
                        <pic:blipFill>
                          <a:blip r:embed="rId32"/>
                          <a:stretch>
                            <a:fillRect/>
                          </a:stretch>
                        </pic:blipFill>
                        <pic:spPr>
                          <a:xfrm>
                            <a:off x="0" y="0"/>
                            <a:ext cx="160020" cy="152400"/>
                          </a:xfrm>
                          <a:prstGeom prst="rect">
                            <a:avLst/>
                          </a:prstGeom>
                          <a:noFill/>
                          <a:ln>
                            <a:noFill/>
                          </a:ln>
                        </pic:spPr>
                      </pic:pic>
                    </a:graphicData>
                  </a:graphic>
                </wp:inline>
              </w:drawing>
            </w:r>
            <w:r>
              <w:rPr>
                <w:rFonts w:ascii="宋体" w:eastAsia="宋体" w:hAnsi="宋体" w:cs="Times New Roman" w:hint="eastAsia"/>
                <w:kern w:val="0"/>
                <w:position w:val="-4"/>
                <w:sz w:val="22"/>
              </w:rPr>
              <w:t>：</w:t>
            </w:r>
            <w:r>
              <w:rPr>
                <w:rFonts w:ascii="宋体" w:eastAsia="宋体" w:hAnsi="宋体" w:cs="Times New Roman"/>
                <w:kern w:val="0"/>
                <w:sz w:val="22"/>
              </w:rPr>
              <w:t>标准正态累计分布函数</w:t>
            </w:r>
          </w:p>
        </w:tc>
      </w:tr>
    </w:tbl>
    <w:p w14:paraId="323D7375" w14:textId="77777777" w:rsidR="0056070C" w:rsidRDefault="00BB5E36">
      <w:pPr>
        <w:widowControl/>
        <w:ind w:firstLineChars="200" w:firstLine="440"/>
        <w:rPr>
          <w:rFonts w:ascii="宋体" w:eastAsia="宋体" w:hAnsi="宋体" w:cs="Times New Roman"/>
          <w:kern w:val="0"/>
          <w:sz w:val="22"/>
        </w:rPr>
      </w:pPr>
      <w:r>
        <w:rPr>
          <w:rFonts w:ascii="宋体" w:eastAsia="宋体" w:hAnsi="宋体" w:cs="Times New Roman"/>
          <w:kern w:val="0"/>
          <w:sz w:val="22"/>
        </w:rPr>
        <w:t xml:space="preserve"> </w:t>
      </w:r>
    </w:p>
    <w:tbl>
      <w:tblPr>
        <w:tblW w:w="0" w:type="auto"/>
        <w:tblLayout w:type="fixed"/>
        <w:tblLook w:val="04A0" w:firstRow="1" w:lastRow="0" w:firstColumn="1" w:lastColumn="0" w:noHBand="0" w:noVBand="1"/>
      </w:tblPr>
      <w:tblGrid>
        <w:gridCol w:w="2164"/>
        <w:gridCol w:w="3066"/>
        <w:gridCol w:w="3066"/>
      </w:tblGrid>
      <w:tr w:rsidR="0056070C" w14:paraId="424D37F6" w14:textId="77777777">
        <w:tc>
          <w:tcPr>
            <w:tcW w:w="2164" w:type="dxa"/>
            <w:tcBorders>
              <w:top w:val="single" w:sz="4" w:space="0" w:color="000000"/>
              <w:left w:val="single" w:sz="4" w:space="0" w:color="000000"/>
              <w:bottom w:val="single" w:sz="4" w:space="0" w:color="000000"/>
              <w:right w:val="single" w:sz="4" w:space="0" w:color="000000"/>
            </w:tcBorders>
          </w:tcPr>
          <w:p w14:paraId="7A832884" w14:textId="77777777" w:rsidR="0056070C" w:rsidRDefault="00BB5E36">
            <w:pPr>
              <w:widowControl/>
              <w:ind w:firstLineChars="200" w:firstLine="442"/>
              <w:rPr>
                <w:rFonts w:ascii="宋体" w:eastAsia="宋体" w:hAnsi="宋体" w:cs="Times New Roman"/>
                <w:b/>
                <w:bCs/>
                <w:kern w:val="0"/>
                <w:sz w:val="22"/>
              </w:rPr>
            </w:pPr>
            <w:r>
              <w:rPr>
                <w:rFonts w:ascii="宋体" w:eastAsia="宋体" w:hAnsi="宋体" w:cs="Times New Roman"/>
                <w:b/>
                <w:bCs/>
                <w:noProof/>
                <w:kern w:val="0"/>
                <w:sz w:val="22"/>
              </w:rPr>
              <w:drawing>
                <wp:inline distT="0" distB="0" distL="114300" distR="114300" wp14:anchorId="6EE82D34" wp14:editId="5C1B0958">
                  <wp:extent cx="152400" cy="228600"/>
                  <wp:effectExtent l="0" t="0" r="0" b="0"/>
                  <wp:docPr id="29" name="图片 30"/>
                  <wp:cNvGraphicFramePr/>
                  <a:graphic xmlns:a="http://schemas.openxmlformats.org/drawingml/2006/main">
                    <a:graphicData uri="http://schemas.openxmlformats.org/drawingml/2006/picture">
                      <pic:pic xmlns:pic="http://schemas.openxmlformats.org/drawingml/2006/picture">
                        <pic:nvPicPr>
                          <pic:cNvPr id="29" name="图片 30"/>
                          <pic:cNvPicPr/>
                        </pic:nvPicPr>
                        <pic:blipFill>
                          <a:blip r:embed="rId23"/>
                          <a:stretch>
                            <a:fillRect/>
                          </a:stretch>
                        </pic:blipFill>
                        <pic:spPr>
                          <a:xfrm>
                            <a:off x="0" y="0"/>
                            <a:ext cx="152400" cy="228600"/>
                          </a:xfrm>
                          <a:prstGeom prst="rect">
                            <a:avLst/>
                          </a:prstGeom>
                          <a:noFill/>
                          <a:ln>
                            <a:noFill/>
                          </a:ln>
                        </pic:spPr>
                      </pic:pic>
                    </a:graphicData>
                  </a:graphic>
                </wp:inline>
              </w:drawing>
            </w:r>
          </w:p>
        </w:tc>
        <w:tc>
          <w:tcPr>
            <w:tcW w:w="3066" w:type="dxa"/>
            <w:tcBorders>
              <w:top w:val="single" w:sz="4" w:space="0" w:color="000000"/>
              <w:left w:val="nil"/>
              <w:bottom w:val="single" w:sz="4" w:space="0" w:color="000000"/>
              <w:right w:val="single" w:sz="4" w:space="0" w:color="000000"/>
            </w:tcBorders>
          </w:tcPr>
          <w:p w14:paraId="14B64811" w14:textId="77777777" w:rsidR="0056070C" w:rsidRDefault="00BB5E36">
            <w:pPr>
              <w:widowControl/>
              <w:ind w:firstLineChars="200" w:firstLine="442"/>
              <w:rPr>
                <w:rFonts w:ascii="宋体" w:eastAsia="宋体" w:hAnsi="宋体" w:cs="Times New Roman"/>
                <w:b/>
                <w:bCs/>
                <w:kern w:val="0"/>
                <w:sz w:val="22"/>
              </w:rPr>
            </w:pPr>
            <w:r>
              <w:rPr>
                <w:rFonts w:ascii="宋体" w:eastAsia="宋体" w:hAnsi="宋体" w:cs="Times New Roman"/>
                <w:b/>
                <w:bCs/>
                <w:kern w:val="0"/>
                <w:sz w:val="22"/>
              </w:rPr>
              <w:t>买（购买保护）</w:t>
            </w:r>
          </w:p>
        </w:tc>
        <w:tc>
          <w:tcPr>
            <w:tcW w:w="3066" w:type="dxa"/>
            <w:tcBorders>
              <w:top w:val="single" w:sz="4" w:space="0" w:color="000000"/>
              <w:left w:val="nil"/>
              <w:bottom w:val="single" w:sz="4" w:space="0" w:color="000000"/>
              <w:right w:val="single" w:sz="4" w:space="0" w:color="000000"/>
            </w:tcBorders>
          </w:tcPr>
          <w:p w14:paraId="2FF76E3F" w14:textId="77777777" w:rsidR="0056070C" w:rsidRDefault="00BB5E36">
            <w:pPr>
              <w:widowControl/>
              <w:ind w:firstLineChars="200" w:firstLine="442"/>
              <w:rPr>
                <w:rFonts w:ascii="宋体" w:eastAsia="宋体" w:hAnsi="宋体" w:cs="Times New Roman"/>
                <w:b/>
                <w:bCs/>
                <w:kern w:val="0"/>
                <w:sz w:val="22"/>
              </w:rPr>
            </w:pPr>
            <w:r>
              <w:rPr>
                <w:rFonts w:ascii="宋体" w:eastAsia="宋体" w:hAnsi="宋体" w:cs="Times New Roman"/>
                <w:b/>
                <w:bCs/>
                <w:kern w:val="0"/>
                <w:sz w:val="22"/>
              </w:rPr>
              <w:t>卖（卖出保护）</w:t>
            </w:r>
          </w:p>
        </w:tc>
      </w:tr>
      <w:tr w:rsidR="0056070C" w14:paraId="332E8E74" w14:textId="77777777">
        <w:tc>
          <w:tcPr>
            <w:tcW w:w="2164" w:type="dxa"/>
            <w:tcBorders>
              <w:top w:val="single" w:sz="4" w:space="0" w:color="000000"/>
              <w:left w:val="single" w:sz="4" w:space="0" w:color="000000"/>
              <w:bottom w:val="single" w:sz="4" w:space="0" w:color="000000"/>
              <w:right w:val="single" w:sz="4" w:space="0" w:color="000000"/>
            </w:tcBorders>
            <w:vAlign w:val="center"/>
          </w:tcPr>
          <w:p w14:paraId="2768A060" w14:textId="77777777" w:rsidR="0056070C" w:rsidRDefault="00BB5E36">
            <w:pPr>
              <w:widowControl/>
              <w:ind w:firstLineChars="200" w:firstLine="440"/>
              <w:rPr>
                <w:rFonts w:ascii="宋体" w:eastAsia="宋体" w:hAnsi="宋体" w:cs="Times New Roman"/>
                <w:kern w:val="0"/>
                <w:sz w:val="22"/>
              </w:rPr>
            </w:pPr>
            <w:r>
              <w:rPr>
                <w:rFonts w:ascii="宋体" w:eastAsia="宋体" w:hAnsi="宋体" w:cs="Times New Roman"/>
                <w:kern w:val="0"/>
                <w:sz w:val="22"/>
              </w:rPr>
              <w:t>CDO</w:t>
            </w:r>
          </w:p>
        </w:tc>
        <w:tc>
          <w:tcPr>
            <w:tcW w:w="3066" w:type="dxa"/>
            <w:tcBorders>
              <w:top w:val="single" w:sz="4" w:space="0" w:color="000000"/>
              <w:left w:val="nil"/>
              <w:bottom w:val="single" w:sz="4" w:space="0" w:color="000000"/>
              <w:right w:val="single" w:sz="4" w:space="0" w:color="000000"/>
            </w:tcBorders>
          </w:tcPr>
          <w:p w14:paraId="73DD4BB4" w14:textId="77777777" w:rsidR="0056070C" w:rsidRDefault="00BB5E36">
            <w:pPr>
              <w:widowControl/>
              <w:rPr>
                <w:rFonts w:ascii="宋体" w:eastAsia="宋体" w:hAnsi="宋体" w:cs="Times New Roman"/>
                <w:kern w:val="0"/>
                <w:sz w:val="22"/>
              </w:rPr>
            </w:pPr>
            <w:r>
              <w:rPr>
                <w:rFonts w:ascii="宋体" w:eastAsia="宋体" w:hAnsi="宋体" w:cs="Times New Roman"/>
                <w:noProof/>
                <w:kern w:val="0"/>
                <w:sz w:val="22"/>
              </w:rPr>
              <w:drawing>
                <wp:inline distT="0" distB="0" distL="114300" distR="114300" wp14:anchorId="14424CB6" wp14:editId="4E85B07E">
                  <wp:extent cx="1638300" cy="426720"/>
                  <wp:effectExtent l="0" t="0" r="0" b="0"/>
                  <wp:docPr id="30" name="图片 31"/>
                  <wp:cNvGraphicFramePr/>
                  <a:graphic xmlns:a="http://schemas.openxmlformats.org/drawingml/2006/main">
                    <a:graphicData uri="http://schemas.openxmlformats.org/drawingml/2006/picture">
                      <pic:pic xmlns:pic="http://schemas.openxmlformats.org/drawingml/2006/picture">
                        <pic:nvPicPr>
                          <pic:cNvPr id="30" name="图片 31"/>
                          <pic:cNvPicPr/>
                        </pic:nvPicPr>
                        <pic:blipFill>
                          <a:blip r:embed="rId33"/>
                          <a:stretch>
                            <a:fillRect/>
                          </a:stretch>
                        </pic:blipFill>
                        <pic:spPr>
                          <a:xfrm>
                            <a:off x="0" y="0"/>
                            <a:ext cx="1638300" cy="426720"/>
                          </a:xfrm>
                          <a:prstGeom prst="rect">
                            <a:avLst/>
                          </a:prstGeom>
                          <a:noFill/>
                          <a:ln>
                            <a:noFill/>
                          </a:ln>
                        </pic:spPr>
                      </pic:pic>
                    </a:graphicData>
                  </a:graphic>
                </wp:inline>
              </w:drawing>
            </w:r>
          </w:p>
        </w:tc>
        <w:tc>
          <w:tcPr>
            <w:tcW w:w="3066" w:type="dxa"/>
            <w:tcBorders>
              <w:top w:val="single" w:sz="4" w:space="0" w:color="000000"/>
              <w:left w:val="nil"/>
              <w:bottom w:val="single" w:sz="4" w:space="0" w:color="000000"/>
              <w:right w:val="single" w:sz="4" w:space="0" w:color="000000"/>
            </w:tcBorders>
          </w:tcPr>
          <w:p w14:paraId="0BAE2783" w14:textId="77777777" w:rsidR="0056070C" w:rsidRDefault="00BB5E36">
            <w:pPr>
              <w:widowControl/>
              <w:rPr>
                <w:rFonts w:ascii="宋体" w:eastAsia="宋体" w:hAnsi="宋体" w:cs="Times New Roman"/>
                <w:kern w:val="0"/>
                <w:sz w:val="22"/>
              </w:rPr>
            </w:pPr>
            <w:r>
              <w:rPr>
                <w:rFonts w:ascii="宋体" w:eastAsia="宋体" w:hAnsi="宋体" w:cs="Times New Roman"/>
                <w:noProof/>
                <w:kern w:val="0"/>
                <w:sz w:val="22"/>
              </w:rPr>
              <w:drawing>
                <wp:inline distT="0" distB="0" distL="114300" distR="114300" wp14:anchorId="79D0AB76" wp14:editId="554EB7F7">
                  <wp:extent cx="1630680" cy="426720"/>
                  <wp:effectExtent l="0" t="0" r="0" b="0"/>
                  <wp:docPr id="31" name="图片 32"/>
                  <wp:cNvGraphicFramePr/>
                  <a:graphic xmlns:a="http://schemas.openxmlformats.org/drawingml/2006/main">
                    <a:graphicData uri="http://schemas.openxmlformats.org/drawingml/2006/picture">
                      <pic:pic xmlns:pic="http://schemas.openxmlformats.org/drawingml/2006/picture">
                        <pic:nvPicPr>
                          <pic:cNvPr id="31" name="图片 32"/>
                          <pic:cNvPicPr/>
                        </pic:nvPicPr>
                        <pic:blipFill>
                          <a:blip r:embed="rId34"/>
                          <a:stretch>
                            <a:fillRect/>
                          </a:stretch>
                        </pic:blipFill>
                        <pic:spPr>
                          <a:xfrm>
                            <a:off x="0" y="0"/>
                            <a:ext cx="1630680" cy="426720"/>
                          </a:xfrm>
                          <a:prstGeom prst="rect">
                            <a:avLst/>
                          </a:prstGeom>
                          <a:noFill/>
                          <a:ln>
                            <a:noFill/>
                          </a:ln>
                        </pic:spPr>
                      </pic:pic>
                    </a:graphicData>
                  </a:graphic>
                </wp:inline>
              </w:drawing>
            </w:r>
          </w:p>
        </w:tc>
      </w:tr>
      <w:tr w:rsidR="0056070C" w14:paraId="3A133A6D" w14:textId="77777777">
        <w:tc>
          <w:tcPr>
            <w:tcW w:w="8296" w:type="dxa"/>
            <w:gridSpan w:val="3"/>
            <w:tcBorders>
              <w:top w:val="single" w:sz="4" w:space="0" w:color="000000"/>
              <w:left w:val="single" w:sz="4" w:space="0" w:color="000000"/>
              <w:bottom w:val="single" w:sz="4" w:space="0" w:color="000000"/>
              <w:right w:val="single" w:sz="4" w:space="0" w:color="000000"/>
            </w:tcBorders>
          </w:tcPr>
          <w:p w14:paraId="1C1BC505" w14:textId="77777777" w:rsidR="0056070C" w:rsidRDefault="00BB5E36">
            <w:pPr>
              <w:widowControl/>
              <w:ind w:firstLineChars="200" w:firstLine="440"/>
              <w:rPr>
                <w:rFonts w:ascii="宋体" w:eastAsia="宋体" w:hAnsi="宋体" w:cs="Times New Roman"/>
                <w:kern w:val="0"/>
                <w:sz w:val="22"/>
              </w:rPr>
            </w:pPr>
            <w:r>
              <w:rPr>
                <w:rFonts w:ascii="宋体" w:eastAsia="宋体" w:hAnsi="宋体" w:cs="Times New Roman"/>
                <w:kern w:val="0"/>
                <w:sz w:val="22"/>
              </w:rPr>
              <w:t>公式参数的定义如下：</w:t>
            </w:r>
          </w:p>
          <w:p w14:paraId="7062123A" w14:textId="77777777" w:rsidR="0056070C" w:rsidRDefault="00BB5E36">
            <w:pPr>
              <w:widowControl/>
              <w:ind w:firstLineChars="200" w:firstLine="440"/>
              <w:rPr>
                <w:rFonts w:ascii="宋体" w:eastAsia="宋体" w:hAnsi="宋体" w:cs="Times New Roman"/>
                <w:kern w:val="0"/>
                <w:sz w:val="22"/>
              </w:rPr>
            </w:pPr>
            <w:r>
              <w:rPr>
                <w:rFonts w:ascii="宋体" w:eastAsia="宋体" w:hAnsi="宋体" w:cs="Times New Roman"/>
                <w:noProof/>
                <w:kern w:val="0"/>
                <w:sz w:val="22"/>
              </w:rPr>
              <w:drawing>
                <wp:inline distT="0" distB="0" distL="114300" distR="114300" wp14:anchorId="47F4605D" wp14:editId="05219D44">
                  <wp:extent cx="160020" cy="228600"/>
                  <wp:effectExtent l="0" t="0" r="0" b="0"/>
                  <wp:docPr id="32" name="图片 33"/>
                  <wp:cNvGraphicFramePr/>
                  <a:graphic xmlns:a="http://schemas.openxmlformats.org/drawingml/2006/main">
                    <a:graphicData uri="http://schemas.openxmlformats.org/drawingml/2006/picture">
                      <pic:pic xmlns:pic="http://schemas.openxmlformats.org/drawingml/2006/picture">
                        <pic:nvPicPr>
                          <pic:cNvPr id="32" name="图片 33"/>
                          <pic:cNvPicPr/>
                        </pic:nvPicPr>
                        <pic:blipFill>
                          <a:blip r:embed="rId35"/>
                          <a:stretch>
                            <a:fillRect/>
                          </a:stretch>
                        </pic:blipFill>
                        <pic:spPr>
                          <a:xfrm>
                            <a:off x="0" y="0"/>
                            <a:ext cx="160020" cy="228600"/>
                          </a:xfrm>
                          <a:prstGeom prst="rect">
                            <a:avLst/>
                          </a:prstGeom>
                          <a:noFill/>
                          <a:ln>
                            <a:noFill/>
                          </a:ln>
                        </pic:spPr>
                      </pic:pic>
                    </a:graphicData>
                  </a:graphic>
                </wp:inline>
              </w:drawing>
            </w:r>
            <w:r>
              <w:rPr>
                <w:rFonts w:ascii="宋体" w:eastAsia="宋体" w:hAnsi="宋体" w:cs="Times New Roman"/>
                <w:kern w:val="0"/>
                <w:sz w:val="22"/>
              </w:rPr>
              <w:t>：</w:t>
            </w:r>
            <w:r>
              <w:rPr>
                <w:rFonts w:ascii="宋体" w:eastAsia="宋体" w:hAnsi="宋体" w:cs="Times New Roman"/>
                <w:kern w:val="0"/>
                <w:sz w:val="22"/>
              </w:rPr>
              <w:t>CDO</w:t>
            </w:r>
            <w:r>
              <w:rPr>
                <w:rFonts w:ascii="宋体" w:eastAsia="宋体" w:hAnsi="宋体" w:cs="Times New Roman"/>
                <w:kern w:val="0"/>
                <w:sz w:val="22"/>
              </w:rPr>
              <w:t>层级附加点</w:t>
            </w:r>
          </w:p>
          <w:p w14:paraId="7D622ADC" w14:textId="77777777" w:rsidR="0056070C" w:rsidRDefault="00BB5E36">
            <w:pPr>
              <w:widowControl/>
              <w:ind w:firstLineChars="200" w:firstLine="440"/>
              <w:rPr>
                <w:rFonts w:ascii="宋体" w:eastAsia="宋体" w:hAnsi="宋体" w:cs="Times New Roman"/>
                <w:kern w:val="0"/>
                <w:sz w:val="22"/>
              </w:rPr>
            </w:pPr>
            <w:r>
              <w:rPr>
                <w:rFonts w:ascii="宋体" w:eastAsia="宋体" w:hAnsi="宋体" w:cs="Times New Roman"/>
                <w:noProof/>
                <w:kern w:val="0"/>
                <w:sz w:val="22"/>
              </w:rPr>
              <w:drawing>
                <wp:inline distT="0" distB="0" distL="114300" distR="114300" wp14:anchorId="759AE622" wp14:editId="527B9B8A">
                  <wp:extent cx="190500" cy="228600"/>
                  <wp:effectExtent l="0" t="0" r="0" b="0"/>
                  <wp:docPr id="33" name="图片 34"/>
                  <wp:cNvGraphicFramePr/>
                  <a:graphic xmlns:a="http://schemas.openxmlformats.org/drawingml/2006/main">
                    <a:graphicData uri="http://schemas.openxmlformats.org/drawingml/2006/picture">
                      <pic:pic xmlns:pic="http://schemas.openxmlformats.org/drawingml/2006/picture">
                        <pic:nvPicPr>
                          <pic:cNvPr id="33" name="图片 34"/>
                          <pic:cNvPicPr/>
                        </pic:nvPicPr>
                        <pic:blipFill>
                          <a:blip r:embed="rId36"/>
                          <a:stretch>
                            <a:fillRect/>
                          </a:stretch>
                        </pic:blipFill>
                        <pic:spPr>
                          <a:xfrm>
                            <a:off x="0" y="0"/>
                            <a:ext cx="190500" cy="228600"/>
                          </a:xfrm>
                          <a:prstGeom prst="rect">
                            <a:avLst/>
                          </a:prstGeom>
                          <a:noFill/>
                          <a:ln>
                            <a:noFill/>
                          </a:ln>
                        </pic:spPr>
                      </pic:pic>
                    </a:graphicData>
                  </a:graphic>
                </wp:inline>
              </w:drawing>
            </w:r>
            <w:r>
              <w:rPr>
                <w:rFonts w:ascii="宋体" w:eastAsia="宋体" w:hAnsi="宋体" w:cs="Times New Roman"/>
                <w:kern w:val="0"/>
                <w:sz w:val="22"/>
              </w:rPr>
              <w:t>：</w:t>
            </w:r>
            <w:r>
              <w:rPr>
                <w:rFonts w:ascii="宋体" w:eastAsia="宋体" w:hAnsi="宋体" w:cs="Times New Roman"/>
                <w:kern w:val="0"/>
                <w:sz w:val="22"/>
              </w:rPr>
              <w:t>CDO</w:t>
            </w:r>
            <w:r>
              <w:rPr>
                <w:rFonts w:ascii="宋体" w:eastAsia="宋体" w:hAnsi="宋体" w:cs="Times New Roman"/>
                <w:kern w:val="0"/>
                <w:sz w:val="22"/>
              </w:rPr>
              <w:t>层级脱离点</w:t>
            </w:r>
          </w:p>
        </w:tc>
      </w:tr>
    </w:tbl>
    <w:p w14:paraId="0EB52EDC"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7</w:t>
      </w:r>
      <w:r>
        <w:rPr>
          <w:rFonts w:ascii="仿宋_GB2312" w:eastAsia="仿宋_GB2312" w:hAnsi="Times New Roman" w:cs="Times New Roman" w:hint="eastAsia"/>
          <w:bCs/>
          <w:sz w:val="30"/>
          <w:szCs w:val="30"/>
        </w:rPr>
        <w:t>）商品类衍生工具单个商品子类的有效名义本金计算公式如下：</w:t>
      </w:r>
    </w:p>
    <w:p w14:paraId="57D3576E" w14:textId="77777777" w:rsidR="0056070C" w:rsidRDefault="00BB5E36">
      <w:pPr>
        <w:jc w:val="center"/>
        <w:rPr>
          <w:rFonts w:ascii="仿宋_GB2312" w:eastAsia="仿宋_GB2312" w:hAnsi="Times New Roman" w:cs="Times New Roman"/>
          <w:bCs/>
          <w:sz w:val="30"/>
          <w:szCs w:val="30"/>
        </w:rPr>
      </w:pPr>
      <w:r>
        <w:rPr>
          <w:rFonts w:ascii="仿宋_GB2312" w:eastAsia="仿宋_GB2312" w:hAnsi="Times New Roman" w:cs="Times New Roman"/>
          <w:noProof/>
          <w:position w:val="-32"/>
          <w:sz w:val="30"/>
          <w:szCs w:val="30"/>
        </w:rPr>
        <w:drawing>
          <wp:inline distT="0" distB="0" distL="114300" distR="114300" wp14:anchorId="6B0ADA44" wp14:editId="1A645A71">
            <wp:extent cx="2735580" cy="426720"/>
            <wp:effectExtent l="0" t="0" r="0" b="0"/>
            <wp:docPr id="3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5"/>
                    <pic:cNvPicPr>
                      <a:picLocks noChangeAspect="1"/>
                    </pic:cNvPicPr>
                  </pic:nvPicPr>
                  <pic:blipFill>
                    <a:blip r:embed="rId37"/>
                    <a:stretch>
                      <a:fillRect/>
                    </a:stretch>
                  </pic:blipFill>
                  <pic:spPr>
                    <a:xfrm>
                      <a:off x="0" y="0"/>
                      <a:ext cx="2735580" cy="426720"/>
                    </a:xfrm>
                    <a:prstGeom prst="rect">
                      <a:avLst/>
                    </a:prstGeom>
                    <a:noFill/>
                    <a:ln>
                      <a:noFill/>
                    </a:ln>
                  </pic:spPr>
                </pic:pic>
              </a:graphicData>
            </a:graphic>
          </wp:inline>
        </w:drawing>
      </w:r>
    </w:p>
    <w:p w14:paraId="61CE08ED"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8</w:t>
      </w:r>
      <w:r>
        <w:rPr>
          <w:rFonts w:ascii="仿宋_GB2312" w:eastAsia="仿宋_GB2312" w:hAnsi="Times New Roman" w:cs="Times New Roman" w:hint="eastAsia"/>
          <w:bCs/>
          <w:sz w:val="30"/>
          <w:szCs w:val="30"/>
        </w:rPr>
        <w:t>）其他衍生工具单个抵消组合的有效名义本金计算公式如下：</w:t>
      </w:r>
    </w:p>
    <w:p w14:paraId="38395081" w14:textId="77777777" w:rsidR="0056070C" w:rsidRDefault="00BB5E36">
      <w:pPr>
        <w:jc w:val="center"/>
        <w:rPr>
          <w:rFonts w:ascii="仿宋_GB2312" w:eastAsia="仿宋_GB2312" w:hAnsi="Times New Roman" w:cs="Times New Roman"/>
          <w:position w:val="-32"/>
          <w:sz w:val="30"/>
          <w:szCs w:val="30"/>
        </w:rPr>
      </w:pPr>
      <w:r>
        <w:rPr>
          <w:rFonts w:ascii="仿宋_GB2312" w:eastAsia="仿宋_GB2312" w:hAnsi="Times New Roman" w:cs="Times New Roman"/>
          <w:noProof/>
          <w:position w:val="-32"/>
          <w:sz w:val="30"/>
          <w:szCs w:val="30"/>
        </w:rPr>
        <w:drawing>
          <wp:anchor distT="0" distB="0" distL="114300" distR="114300" simplePos="0" relativeHeight="251659264" behindDoc="0" locked="0" layoutInCell="1" allowOverlap="1" wp14:anchorId="16EE5EB8" wp14:editId="51B47F20">
            <wp:simplePos x="0" y="0"/>
            <wp:positionH relativeFrom="column">
              <wp:posOffset>1528445</wp:posOffset>
            </wp:positionH>
            <wp:positionV relativeFrom="paragraph">
              <wp:posOffset>33020</wp:posOffset>
            </wp:positionV>
            <wp:extent cx="2598420" cy="426720"/>
            <wp:effectExtent l="0" t="0" r="0" b="0"/>
            <wp:wrapNone/>
            <wp:docPr id="3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6"/>
                    <pic:cNvPicPr>
                      <a:picLocks noChangeAspect="1"/>
                    </pic:cNvPicPr>
                  </pic:nvPicPr>
                  <pic:blipFill>
                    <a:blip r:embed="rId38"/>
                    <a:stretch>
                      <a:fillRect/>
                    </a:stretch>
                  </pic:blipFill>
                  <pic:spPr>
                    <a:xfrm>
                      <a:off x="0" y="0"/>
                      <a:ext cx="2598420" cy="426720"/>
                    </a:xfrm>
                    <a:prstGeom prst="rect">
                      <a:avLst/>
                    </a:prstGeom>
                    <a:noFill/>
                    <a:ln>
                      <a:noFill/>
                    </a:ln>
                  </pic:spPr>
                </pic:pic>
              </a:graphicData>
            </a:graphic>
          </wp:anchor>
        </w:drawing>
      </w:r>
    </w:p>
    <w:p w14:paraId="09D227A1"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lastRenderedPageBreak/>
        <w:t>其中：δ、</w:t>
      </w:r>
      <w:r>
        <w:rPr>
          <w:rFonts w:ascii="仿宋_GB2312" w:eastAsia="仿宋_GB2312" w:hAnsi="Times New Roman" w:cs="Times New Roman" w:hint="eastAsia"/>
          <w:bCs/>
          <w:sz w:val="30"/>
          <w:szCs w:val="30"/>
        </w:rPr>
        <w:t>d</w:t>
      </w:r>
      <w:r>
        <w:rPr>
          <w:rFonts w:ascii="仿宋_GB2312" w:eastAsia="仿宋_GB2312" w:hAnsi="Times New Roman" w:cs="Times New Roman" w:hint="eastAsia"/>
          <w:bCs/>
          <w:sz w:val="30"/>
          <w:szCs w:val="30"/>
        </w:rPr>
        <w:t>和</w:t>
      </w:r>
      <w:r>
        <w:rPr>
          <w:rFonts w:ascii="仿宋_GB2312" w:eastAsia="仿宋_GB2312" w:hAnsi="Times New Roman" w:cs="Times New Roman" w:hint="eastAsia"/>
          <w:bCs/>
          <w:sz w:val="30"/>
          <w:szCs w:val="30"/>
        </w:rPr>
        <w:t>MF</w:t>
      </w:r>
      <w:r>
        <w:rPr>
          <w:rFonts w:ascii="仿宋_GB2312" w:eastAsia="仿宋_GB2312" w:hAnsi="Times New Roman" w:cs="Times New Roman" w:hint="eastAsia"/>
          <w:bCs/>
          <w:sz w:val="30"/>
          <w:szCs w:val="30"/>
        </w:rPr>
        <w:t>的定义及确定方法与利率类衍生工具一致。</w:t>
      </w:r>
    </w:p>
    <w:p w14:paraId="5E46F8E5"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9</w:t>
      </w:r>
      <w:r>
        <w:rPr>
          <w:rFonts w:ascii="仿宋_GB2312" w:eastAsia="仿宋_GB2312" w:hAnsi="Times New Roman" w:cs="Times New Roman" w:hint="eastAsia"/>
          <w:bCs/>
          <w:sz w:val="30"/>
          <w:szCs w:val="30"/>
        </w:rPr>
        <w:t>）调整后的名义本金应根据资产类别，按照下列方式计算：</w:t>
      </w:r>
    </w:p>
    <w:p w14:paraId="63C745E0"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a.</w:t>
      </w:r>
      <w:r>
        <w:rPr>
          <w:rFonts w:ascii="仿宋_GB2312" w:eastAsia="仿宋_GB2312" w:hAnsi="Times New Roman" w:cs="Times New Roman" w:hint="eastAsia"/>
          <w:bCs/>
          <w:sz w:val="30"/>
          <w:szCs w:val="30"/>
        </w:rPr>
        <w:t>利率和信用类衍生工具：</w:t>
      </w:r>
    </w:p>
    <w:p w14:paraId="6ED096A9" w14:textId="77777777" w:rsidR="0056070C" w:rsidRDefault="00BB5E36">
      <w:pPr>
        <w:spacing w:line="480" w:lineRule="exact"/>
        <w:ind w:firstLineChars="200" w:firstLine="600"/>
        <w:jc w:val="center"/>
        <w:rPr>
          <w:rFonts w:ascii="仿宋_GB2312" w:eastAsia="仿宋_GB2312" w:hAnsi="Times New Roman" w:cs="Times New Roman"/>
          <w:bCs/>
          <w:sz w:val="30"/>
          <w:szCs w:val="30"/>
        </w:rPr>
      </w:pPr>
      <m:oMathPara>
        <m:oMath>
          <m:r>
            <w:rPr>
              <w:rFonts w:ascii="Cambria Math" w:eastAsia="仿宋_GB2312" w:hAnsi="Cambria Math" w:cs="Times New Roman"/>
              <w:sz w:val="30"/>
              <w:szCs w:val="30"/>
            </w:rPr>
            <m:t>d</m:t>
          </m:r>
          <m:r>
            <w:rPr>
              <w:rFonts w:ascii="Cambria Math" w:eastAsia="仿宋_GB2312" w:hAnsi="Cambria Math" w:cs="Times New Roman"/>
              <w:sz w:val="30"/>
              <w:szCs w:val="30"/>
            </w:rPr>
            <m:t>=</m:t>
          </m:r>
          <m:r>
            <w:rPr>
              <w:rFonts w:ascii="Cambria Math" w:eastAsia="仿宋_GB2312" w:hAnsi="Cambria Math" w:cs="Times New Roman"/>
              <w:sz w:val="30"/>
              <w:szCs w:val="30"/>
            </w:rPr>
            <m:t>SD</m:t>
          </m:r>
          <m:r>
            <w:rPr>
              <w:rFonts w:ascii="Cambria Math" w:eastAsia="仿宋_GB2312" w:hAnsi="Cambria Math" w:cs="Times New Roman"/>
              <w:sz w:val="30"/>
              <w:szCs w:val="30"/>
            </w:rPr>
            <m:t>*</m:t>
          </m:r>
          <m:r>
            <w:rPr>
              <w:rFonts w:ascii="Cambria Math" w:eastAsia="仿宋_GB2312" w:hAnsi="Cambria Math" w:cs="Times New Roman"/>
              <w:sz w:val="30"/>
              <w:szCs w:val="30"/>
            </w:rPr>
            <m:t>Notiona</m:t>
          </m:r>
          <m:r>
            <w:rPr>
              <w:rFonts w:ascii="Cambria Math" w:eastAsia="仿宋_GB2312" w:hAnsi="Times New Roman" w:cs="Times New Roman"/>
              <w:sz w:val="30"/>
              <w:szCs w:val="30"/>
            </w:rPr>
            <m:t>l</m:t>
          </m:r>
        </m:oMath>
      </m:oMathPara>
    </w:p>
    <w:p w14:paraId="5330CE00"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其中：</w:t>
      </w:r>
      <w:r>
        <w:rPr>
          <w:rFonts w:ascii="仿宋_GB2312" w:eastAsia="仿宋_GB2312" w:hAnsi="Times New Roman" w:cs="Times New Roman" w:hint="eastAsia"/>
          <w:bCs/>
          <w:sz w:val="30"/>
          <w:szCs w:val="30"/>
        </w:rPr>
        <w:t>SD</w:t>
      </w:r>
      <w:r>
        <w:rPr>
          <w:rFonts w:ascii="仿宋_GB2312" w:eastAsia="仿宋_GB2312" w:hAnsi="Times New Roman" w:cs="Times New Roman" w:hint="eastAsia"/>
          <w:bCs/>
          <w:sz w:val="30"/>
          <w:szCs w:val="30"/>
        </w:rPr>
        <w:t>为监管久期；</w:t>
      </w:r>
      <w:r>
        <w:rPr>
          <w:rFonts w:ascii="仿宋_GB2312" w:eastAsia="仿宋_GB2312" w:hAnsi="Times New Roman" w:cs="Times New Roman" w:hint="eastAsia"/>
          <w:bCs/>
          <w:sz w:val="30"/>
          <w:szCs w:val="30"/>
        </w:rPr>
        <w:t>Notional</w:t>
      </w:r>
      <w:r>
        <w:rPr>
          <w:rFonts w:ascii="仿宋_GB2312" w:eastAsia="仿宋_GB2312" w:hAnsi="Times New Roman" w:cs="Times New Roman" w:hint="eastAsia"/>
          <w:bCs/>
          <w:sz w:val="30"/>
          <w:szCs w:val="30"/>
        </w:rPr>
        <w:t>为折算成本币的名义本金。</w:t>
      </w:r>
    </w:p>
    <w:p w14:paraId="125BB28A"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b.</w:t>
      </w:r>
      <w:r>
        <w:rPr>
          <w:rFonts w:ascii="仿宋_GB2312" w:eastAsia="仿宋_GB2312" w:hAnsi="Times New Roman" w:cs="Times New Roman" w:hint="eastAsia"/>
          <w:bCs/>
          <w:sz w:val="30"/>
          <w:szCs w:val="30"/>
        </w:rPr>
        <w:t>汇率类衍生工具：</w:t>
      </w:r>
    </w:p>
    <w:p w14:paraId="62DD181F"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d</w:t>
      </w:r>
      <w:r>
        <w:rPr>
          <w:rFonts w:ascii="仿宋_GB2312" w:eastAsia="仿宋_GB2312" w:hAnsi="Times New Roman" w:cs="Times New Roman" w:hint="eastAsia"/>
          <w:bCs/>
          <w:sz w:val="30"/>
          <w:szCs w:val="30"/>
        </w:rPr>
        <w:t>为合同中的外币端名义本金折算为本币值。如果一个汇率类衍生工具的两端都为外币，则两端名义本金均折算为本币值，较大者为调整后的名义本金。</w:t>
      </w:r>
    </w:p>
    <w:p w14:paraId="56F33BBF"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c.</w:t>
      </w:r>
      <w:r>
        <w:rPr>
          <w:rFonts w:ascii="仿宋_GB2312" w:eastAsia="仿宋_GB2312" w:hAnsi="Times New Roman" w:cs="Times New Roman" w:hint="eastAsia"/>
          <w:bCs/>
          <w:sz w:val="30"/>
          <w:szCs w:val="30"/>
        </w:rPr>
        <w:t>股票和商品衍生工具：</w:t>
      </w:r>
    </w:p>
    <w:p w14:paraId="4C47EA19"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d</w:t>
      </w:r>
      <w:r>
        <w:rPr>
          <w:rFonts w:ascii="仿宋_GB2312" w:eastAsia="仿宋_GB2312" w:hAnsi="Times New Roman" w:cs="Times New Roman" w:hint="eastAsia"/>
          <w:bCs/>
          <w:sz w:val="30"/>
          <w:szCs w:val="30"/>
        </w:rPr>
        <w:t>为每一单位股票或商品价格（例如一股股票或一桶原油）乘以标的数量。</w:t>
      </w:r>
    </w:p>
    <w:p w14:paraId="7DECA781"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10</w:t>
      </w:r>
      <w:r>
        <w:rPr>
          <w:rFonts w:ascii="仿宋_GB2312" w:eastAsia="仿宋_GB2312" w:hAnsi="Times New Roman" w:cs="Times New Roman" w:hint="eastAsia"/>
          <w:bCs/>
          <w:sz w:val="30"/>
          <w:szCs w:val="30"/>
        </w:rPr>
        <w:t>）监管久期的计算公式如下：</w:t>
      </w:r>
    </w:p>
    <w:p w14:paraId="7AE30BAD" w14:textId="77777777" w:rsidR="0056070C" w:rsidRDefault="00BB5E36">
      <w:pPr>
        <w:jc w:val="center"/>
        <w:rPr>
          <w:rFonts w:ascii="仿宋_GB2312" w:eastAsia="仿宋_GB2312" w:hAnsi="Times New Roman" w:cs="Times New Roman"/>
          <w:sz w:val="30"/>
          <w:szCs w:val="30"/>
        </w:rPr>
      </w:pPr>
      <w:r>
        <w:rPr>
          <w:rFonts w:ascii="仿宋_GB2312" w:eastAsia="仿宋_GB2312" w:hAnsi="Times New Roman" w:cs="Times New Roman"/>
          <w:noProof/>
          <w:sz w:val="30"/>
          <w:szCs w:val="30"/>
        </w:rPr>
        <w:drawing>
          <wp:inline distT="0" distB="0" distL="114300" distR="114300" wp14:anchorId="147DD701" wp14:editId="3AADF5D0">
            <wp:extent cx="2645410" cy="430530"/>
            <wp:effectExtent l="0" t="0" r="2540" b="7620"/>
            <wp:docPr id="3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8"/>
                    <pic:cNvPicPr>
                      <a:picLocks noChangeAspect="1"/>
                    </pic:cNvPicPr>
                  </pic:nvPicPr>
                  <pic:blipFill>
                    <a:blip r:embed="rId39"/>
                    <a:stretch>
                      <a:fillRect/>
                    </a:stretch>
                  </pic:blipFill>
                  <pic:spPr>
                    <a:xfrm>
                      <a:off x="0" y="0"/>
                      <a:ext cx="2665314" cy="434030"/>
                    </a:xfrm>
                    <a:prstGeom prst="rect">
                      <a:avLst/>
                    </a:prstGeom>
                    <a:noFill/>
                    <a:ln>
                      <a:noFill/>
                    </a:ln>
                  </pic:spPr>
                </pic:pic>
              </a:graphicData>
            </a:graphic>
          </wp:inline>
        </w:drawing>
      </w:r>
    </w:p>
    <w:p w14:paraId="7343E9F3"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其中：</w:t>
      </w:r>
      <m:oMath>
        <m:sSub>
          <m:sSubPr>
            <m:ctrlPr>
              <w:rPr>
                <w:rFonts w:ascii="Cambria Math" w:eastAsia="仿宋_GB2312" w:hAnsi="Cambria Math" w:cs="Times New Roman"/>
                <w:bCs/>
                <w:i/>
                <w:sz w:val="30"/>
                <w:szCs w:val="30"/>
              </w:rPr>
            </m:ctrlPr>
          </m:sSubPr>
          <m:e>
            <m:r>
              <w:rPr>
                <w:rFonts w:ascii="Cambria Math" w:eastAsia="仿宋_GB2312" w:hAnsi="Cambria Math" w:cs="Times New Roman"/>
                <w:sz w:val="30"/>
                <w:szCs w:val="30"/>
              </w:rPr>
              <m:t>S</m:t>
            </m:r>
          </m:e>
          <m:sub>
            <m:r>
              <w:rPr>
                <w:rFonts w:ascii="Cambria Math" w:eastAsia="仿宋_GB2312" w:hAnsi="Cambria Math" w:cs="Times New Roman"/>
                <w:sz w:val="30"/>
                <w:szCs w:val="30"/>
              </w:rPr>
              <m:t>i</m:t>
            </m:r>
          </m:sub>
        </m:sSub>
      </m:oMath>
      <w:r>
        <w:rPr>
          <w:rFonts w:ascii="仿宋_GB2312" w:eastAsia="仿宋_GB2312" w:hAnsi="Times New Roman" w:cs="Times New Roman" w:hint="eastAsia"/>
          <w:bCs/>
          <w:sz w:val="30"/>
          <w:szCs w:val="30"/>
        </w:rPr>
        <w:t>和</w:t>
      </w:r>
      <m:oMath>
        <m:sSub>
          <m:sSubPr>
            <m:ctrlPr>
              <w:rPr>
                <w:rFonts w:ascii="Cambria Math" w:eastAsia="仿宋_GB2312" w:hAnsi="Cambria Math" w:cs="Times New Roman"/>
                <w:bCs/>
                <w:i/>
                <w:sz w:val="30"/>
                <w:szCs w:val="30"/>
              </w:rPr>
            </m:ctrlPr>
          </m:sSubPr>
          <m:e>
            <m:r>
              <w:rPr>
                <w:rFonts w:ascii="Cambria Math" w:eastAsia="仿宋_GB2312" w:hAnsi="Cambria Math" w:cs="Times New Roman"/>
                <w:sz w:val="30"/>
                <w:szCs w:val="30"/>
              </w:rPr>
              <m:t>E</m:t>
            </m:r>
          </m:e>
          <m:sub>
            <m:r>
              <w:rPr>
                <w:rFonts w:ascii="Cambria Math" w:eastAsia="仿宋_GB2312" w:hAnsi="Cambria Math" w:cs="Times New Roman"/>
                <w:sz w:val="30"/>
                <w:szCs w:val="30"/>
              </w:rPr>
              <m:t>i</m:t>
            </m:r>
          </m:sub>
        </m:sSub>
      </m:oMath>
      <w:r>
        <w:rPr>
          <w:rFonts w:ascii="仿宋_GB2312" w:eastAsia="仿宋_GB2312" w:hAnsi="Times New Roman" w:cs="Times New Roman" w:hint="eastAsia"/>
          <w:bCs/>
          <w:sz w:val="30"/>
          <w:szCs w:val="30"/>
        </w:rPr>
        <w:t>分别代表当前距离衍生工具的起始日期和结束日期的时间间距，最小为</w:t>
      </w:r>
      <w:r>
        <w:rPr>
          <w:rFonts w:ascii="仿宋_GB2312" w:eastAsia="仿宋_GB2312" w:hAnsi="Times New Roman" w:cs="Times New Roman" w:hint="eastAsia"/>
          <w:bCs/>
          <w:sz w:val="30"/>
          <w:szCs w:val="30"/>
        </w:rPr>
        <w:t>10</w:t>
      </w:r>
      <w:r>
        <w:rPr>
          <w:rFonts w:ascii="仿宋_GB2312" w:eastAsia="仿宋_GB2312" w:hAnsi="Times New Roman" w:cs="Times New Roman" w:hint="eastAsia"/>
          <w:bCs/>
          <w:sz w:val="30"/>
          <w:szCs w:val="30"/>
        </w:rPr>
        <w:t>个工作日，对于进行中的合约（例如一个进行中的利率互换），</w:t>
      </w:r>
      <m:oMath>
        <m:sSub>
          <m:sSubPr>
            <m:ctrlPr>
              <w:rPr>
                <w:rFonts w:ascii="Cambria Math" w:eastAsia="仿宋_GB2312" w:hAnsi="Cambria Math" w:cs="Times New Roman"/>
                <w:bCs/>
                <w:i/>
                <w:sz w:val="30"/>
                <w:szCs w:val="30"/>
              </w:rPr>
            </m:ctrlPr>
          </m:sSubPr>
          <m:e>
            <m:r>
              <w:rPr>
                <w:rFonts w:ascii="Cambria Math" w:eastAsia="仿宋_GB2312" w:hAnsi="Cambria Math" w:cs="Times New Roman"/>
                <w:sz w:val="30"/>
                <w:szCs w:val="30"/>
              </w:rPr>
              <m:t>S</m:t>
            </m:r>
          </m:e>
          <m:sub>
            <m:r>
              <w:rPr>
                <w:rFonts w:ascii="Cambria Math" w:eastAsia="仿宋_GB2312" w:hAnsi="Cambria Math" w:cs="Times New Roman"/>
                <w:sz w:val="30"/>
                <w:szCs w:val="30"/>
              </w:rPr>
              <m:t>i</m:t>
            </m:r>
          </m:sub>
        </m:sSub>
      </m:oMath>
      <w:r>
        <w:rPr>
          <w:rFonts w:ascii="仿宋_GB2312" w:eastAsia="仿宋_GB2312" w:hAnsi="Times New Roman" w:cs="Times New Roman" w:hint="eastAsia"/>
          <w:bCs/>
          <w:sz w:val="30"/>
          <w:szCs w:val="30"/>
        </w:rPr>
        <w:t>为</w:t>
      </w:r>
      <w:r>
        <w:rPr>
          <w:rFonts w:ascii="仿宋_GB2312" w:eastAsia="仿宋_GB2312" w:hAnsi="Times New Roman" w:cs="Times New Roman" w:hint="eastAsia"/>
          <w:bCs/>
          <w:sz w:val="30"/>
          <w:szCs w:val="30"/>
        </w:rPr>
        <w:t>0</w:t>
      </w:r>
      <w:r>
        <w:rPr>
          <w:rFonts w:ascii="仿宋_GB2312" w:eastAsia="仿宋_GB2312" w:hAnsi="Times New Roman" w:cs="Times New Roman" w:hint="eastAsia"/>
          <w:bCs/>
          <w:sz w:val="30"/>
          <w:szCs w:val="30"/>
        </w:rPr>
        <w:t>。如果衍生工具标的是其他利率或信用工具（例如利率互换期权或债券期权），时间间距应基于标</w:t>
      </w:r>
      <w:r>
        <w:rPr>
          <w:rFonts w:ascii="仿宋_GB2312" w:eastAsia="仿宋_GB2312" w:hAnsi="Times New Roman" w:cs="Times New Roman" w:hint="eastAsia"/>
          <w:bCs/>
          <w:sz w:val="30"/>
          <w:szCs w:val="30"/>
        </w:rPr>
        <w:t>的确定，如剩余期限</w:t>
      </w: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年的利率互换期权，行权标的为</w:t>
      </w: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年期利率互换，</w:t>
      </w:r>
      <m:oMath>
        <m:sSub>
          <m:sSubPr>
            <m:ctrlPr>
              <w:rPr>
                <w:rFonts w:ascii="Cambria Math" w:eastAsia="仿宋_GB2312" w:hAnsi="Cambria Math" w:cs="Times New Roman"/>
                <w:bCs/>
                <w:i/>
                <w:sz w:val="30"/>
                <w:szCs w:val="30"/>
              </w:rPr>
            </m:ctrlPr>
          </m:sSubPr>
          <m:e>
            <m:r>
              <w:rPr>
                <w:rFonts w:ascii="Cambria Math" w:eastAsia="仿宋_GB2312" w:hAnsi="Cambria Math" w:cs="Times New Roman"/>
                <w:sz w:val="30"/>
                <w:szCs w:val="30"/>
              </w:rPr>
              <m:t>S</m:t>
            </m:r>
          </m:e>
          <m:sub>
            <m:r>
              <w:rPr>
                <w:rFonts w:ascii="Cambria Math" w:eastAsia="仿宋_GB2312" w:hAnsi="Cambria Math" w:cs="Times New Roman"/>
                <w:sz w:val="30"/>
                <w:szCs w:val="30"/>
              </w:rPr>
              <m:t>i</m:t>
            </m:r>
          </m:sub>
        </m:sSub>
      </m:oMath>
      <w:r>
        <w:rPr>
          <w:rFonts w:ascii="仿宋_GB2312" w:eastAsia="仿宋_GB2312" w:hAnsi="Times New Roman" w:cs="Times New Roman" w:hint="eastAsia"/>
          <w:bCs/>
          <w:sz w:val="30"/>
          <w:szCs w:val="30"/>
        </w:rPr>
        <w:t>为</w:t>
      </w: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年，</w:t>
      </w:r>
      <m:oMath>
        <m:sSub>
          <m:sSubPr>
            <m:ctrlPr>
              <w:rPr>
                <w:rFonts w:ascii="Cambria Math" w:eastAsia="仿宋_GB2312" w:hAnsi="Cambria Math" w:cs="Times New Roman"/>
                <w:bCs/>
                <w:i/>
                <w:sz w:val="30"/>
                <w:szCs w:val="30"/>
              </w:rPr>
            </m:ctrlPr>
          </m:sSubPr>
          <m:e>
            <m:r>
              <w:rPr>
                <w:rFonts w:ascii="Cambria Math" w:eastAsia="仿宋_GB2312" w:hAnsi="Cambria Math" w:cs="Times New Roman"/>
                <w:sz w:val="30"/>
                <w:szCs w:val="30"/>
              </w:rPr>
              <m:t>E</m:t>
            </m:r>
          </m:e>
          <m:sub>
            <m:r>
              <w:rPr>
                <w:rFonts w:ascii="Cambria Math" w:eastAsia="仿宋_GB2312" w:hAnsi="Cambria Math" w:cs="Times New Roman"/>
                <w:sz w:val="30"/>
                <w:szCs w:val="30"/>
              </w:rPr>
              <m:t>i</m:t>
            </m:r>
          </m:sub>
        </m:sSub>
      </m:oMath>
      <w:r>
        <w:rPr>
          <w:rFonts w:ascii="仿宋_GB2312" w:eastAsia="仿宋_GB2312" w:hAnsi="Times New Roman" w:cs="Times New Roman" w:hint="eastAsia"/>
          <w:bCs/>
          <w:sz w:val="30"/>
          <w:szCs w:val="30"/>
        </w:rPr>
        <w:t>为</w:t>
      </w: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年。</w:t>
      </w:r>
    </w:p>
    <w:p w14:paraId="0F730418"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11</w:t>
      </w:r>
      <w:r>
        <w:rPr>
          <w:rFonts w:ascii="仿宋_GB2312" w:eastAsia="仿宋_GB2312" w:hAnsi="Times New Roman" w:cs="Times New Roman" w:hint="eastAsia"/>
          <w:bCs/>
          <w:sz w:val="30"/>
          <w:szCs w:val="30"/>
        </w:rPr>
        <w:t>）当交易的名义本金在到期日前没有明确约定时，商业银行应采用下列方法确定名义本金：</w:t>
      </w:r>
    </w:p>
    <w:p w14:paraId="4A70C716"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a.</w:t>
      </w:r>
      <w:r>
        <w:rPr>
          <w:rFonts w:ascii="仿宋_GB2312" w:eastAsia="仿宋_GB2312" w:hAnsi="Times New Roman" w:cs="Times New Roman" w:hint="eastAsia"/>
          <w:bCs/>
          <w:sz w:val="30"/>
          <w:szCs w:val="30"/>
        </w:rPr>
        <w:t>当名义本金为市场价值的函数时，银行应用当前市场价值确定交易的名义本金。</w:t>
      </w:r>
    </w:p>
    <w:p w14:paraId="639283F0"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b.</w:t>
      </w:r>
      <w:r>
        <w:rPr>
          <w:rFonts w:ascii="仿宋_GB2312" w:eastAsia="仿宋_GB2312" w:hAnsi="Times New Roman" w:cs="Times New Roman" w:hint="eastAsia"/>
          <w:bCs/>
          <w:sz w:val="30"/>
          <w:szCs w:val="30"/>
        </w:rPr>
        <w:t>对于可变名义本金互换（如增长型和减弱型互换），银行应用互换剩余期限的名义本金平均值作为交易的名义本金。</w:t>
      </w:r>
    </w:p>
    <w:p w14:paraId="06DC6C14"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bCs/>
          <w:sz w:val="30"/>
          <w:szCs w:val="30"/>
        </w:rPr>
        <w:lastRenderedPageBreak/>
        <w:t>c</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杠杆类互换应转换为等价的非杠杆类互换来计算名义本金，当互换中的利率乘以一个乘数时，交易的名义本金也应乘以这个利率乘数。</w:t>
      </w:r>
    </w:p>
    <w:p w14:paraId="512ADF3B"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bCs/>
          <w:sz w:val="30"/>
          <w:szCs w:val="30"/>
        </w:rPr>
        <w:t>d</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对于需要多次交换名义本金的衍生工具合同，交易的名义本金要乘以衍生工具合同中的本金交换次数。</w:t>
      </w:r>
    </w:p>
    <w:p w14:paraId="74C2BB76"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12</w:t>
      </w:r>
      <w:r>
        <w:rPr>
          <w:rFonts w:ascii="仿宋_GB2312" w:eastAsia="仿宋_GB2312" w:hAnsi="Times New Roman" w:cs="Times New Roman" w:hint="eastAsia"/>
          <w:bCs/>
          <w:sz w:val="30"/>
          <w:szCs w:val="30"/>
        </w:rPr>
        <w:t>）期限因子应按照是否有保证金分别计算：</w:t>
      </w:r>
    </w:p>
    <w:p w14:paraId="6D9EA6AF"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a.</w:t>
      </w:r>
      <w:r>
        <w:rPr>
          <w:rFonts w:ascii="仿宋_GB2312" w:eastAsia="仿宋_GB2312" w:hAnsi="Times New Roman" w:cs="Times New Roman" w:hint="eastAsia"/>
          <w:bCs/>
          <w:sz w:val="30"/>
          <w:szCs w:val="30"/>
        </w:rPr>
        <w:t>对于无保证金交易，期限因子计算公式如下：</w:t>
      </w:r>
    </w:p>
    <w:p w14:paraId="7A6D7B7C" w14:textId="65ABCCDD" w:rsidR="0056070C" w:rsidRDefault="00BB5E36">
      <w:pPr>
        <w:rPr>
          <w:rFonts w:cs="Times New Roman"/>
          <w:bCs/>
        </w:rPr>
      </w:pPr>
      <m:oMathPara>
        <m:oMath>
          <m:sSup>
            <m:sSupPr>
              <m:ctrlPr>
                <w:rPr>
                  <w:rFonts w:ascii="Cambria Math" w:eastAsia="仿宋_GB2312" w:hAnsi="Cambria Math" w:cs="Times New Roman"/>
                  <w:bCs/>
                  <w:i/>
                  <w:sz w:val="28"/>
                  <w:szCs w:val="28"/>
                </w:rPr>
              </m:ctrlPr>
            </m:sSupPr>
            <m:e>
              <m:sSub>
                <m:sSubPr>
                  <m:ctrlPr>
                    <w:rPr>
                      <w:rFonts w:ascii="Cambria Math" w:eastAsia="仿宋_GB2312" w:hAnsi="Cambria Math" w:cs="Times New Roman"/>
                      <w:i/>
                      <w:sz w:val="28"/>
                      <w:szCs w:val="28"/>
                    </w:rPr>
                  </m:ctrlPr>
                </m:sSubPr>
                <m:e>
                  <m:r>
                    <w:rPr>
                      <w:rFonts w:ascii="Cambria Math" w:eastAsia="仿宋_GB2312" w:hAnsi="Cambria Math" w:cs="Times New Roman"/>
                      <w:sz w:val="28"/>
                      <w:szCs w:val="28"/>
                    </w:rPr>
                    <m:t>MF</m:t>
                  </m:r>
                </m:e>
                <m:sub>
                  <m:r>
                    <w:rPr>
                      <w:rFonts w:ascii="Cambria Math" w:eastAsia="仿宋_GB2312" w:hAnsi="Cambria Math" w:cs="Times New Roman"/>
                      <w:sz w:val="28"/>
                      <w:szCs w:val="28"/>
                    </w:rPr>
                    <m:t>i</m:t>
                  </m:r>
                </m:sub>
              </m:sSub>
            </m:e>
            <m:sup>
              <m:d>
                <m:dPr>
                  <m:ctrlPr>
                    <w:rPr>
                      <w:rFonts w:ascii="Cambria Math" w:eastAsia="仿宋_GB2312" w:hAnsi="Cambria Math" w:cs="Times New Roman"/>
                      <w:i/>
                      <w:sz w:val="28"/>
                      <w:szCs w:val="28"/>
                    </w:rPr>
                  </m:ctrlPr>
                </m:dPr>
                <m:e>
                  <m:r>
                    <m:rPr>
                      <m:sty m:val="p"/>
                    </m:rPr>
                    <w:rPr>
                      <w:rFonts w:ascii="Cambria Math" w:eastAsia="仿宋_GB2312" w:hAnsi="Cambria Math" w:cs="Times New Roman" w:hint="eastAsia"/>
                      <w:sz w:val="28"/>
                      <w:szCs w:val="28"/>
                    </w:rPr>
                    <m:t>无保证金交易</m:t>
                  </m:r>
                </m:e>
              </m:d>
            </m:sup>
          </m:sSup>
          <m:r>
            <w:rPr>
              <w:rFonts w:ascii="Cambria Math" w:eastAsia="仿宋_GB2312" w:hAnsi="Cambria Math" w:cs="Times New Roman"/>
              <w:sz w:val="28"/>
              <w:szCs w:val="28"/>
            </w:rPr>
            <m:t>=</m:t>
          </m:r>
          <m:rad>
            <m:radPr>
              <m:degHide m:val="1"/>
              <m:ctrlPr>
                <w:rPr>
                  <w:rFonts w:ascii="Cambria Math" w:eastAsia="仿宋_GB2312" w:hAnsi="Cambria Math" w:cs="Times New Roman"/>
                  <w:i/>
                  <w:sz w:val="28"/>
                  <w:szCs w:val="28"/>
                </w:rPr>
              </m:ctrlPr>
            </m:radPr>
            <m:deg/>
            <m:e>
              <m:f>
                <m:fPr>
                  <m:ctrlPr>
                    <w:rPr>
                      <w:rFonts w:ascii="Cambria Math" w:eastAsia="仿宋_GB2312" w:hAnsi="Cambria Math" w:cs="Times New Roman"/>
                      <w:i/>
                      <w:sz w:val="28"/>
                      <w:szCs w:val="28"/>
                    </w:rPr>
                  </m:ctrlPr>
                </m:fPr>
                <m:num>
                  <m:r>
                    <m:rPr>
                      <m:sty m:val="p"/>
                    </m:rPr>
                    <w:rPr>
                      <w:rFonts w:ascii="Cambria Math" w:eastAsia="仿宋_GB2312" w:hAnsi="Cambria Math" w:cs="Times New Roman"/>
                      <w:sz w:val="28"/>
                      <w:szCs w:val="28"/>
                    </w:rPr>
                    <m:t>min</m:t>
                  </m:r>
                  <m:r>
                    <m:rPr>
                      <m:sty m:val="p"/>
                    </m:rPr>
                    <w:rPr>
                      <w:rFonts w:ascii="Cambria Math" w:eastAsia="仿宋_GB2312" w:hAnsi="Cambria Math" w:cs="Times New Roman" w:hint="eastAsia"/>
                      <w:sz w:val="28"/>
                      <w:szCs w:val="28"/>
                    </w:rPr>
                    <m:t>（</m:t>
                  </m:r>
                  <m:sSub>
                    <m:sSubPr>
                      <m:ctrlPr>
                        <w:rPr>
                          <w:rFonts w:ascii="Cambria Math" w:eastAsia="仿宋_GB2312" w:hAnsi="Cambria Math" w:cs="Times New Roman"/>
                          <w:i/>
                          <w:sz w:val="28"/>
                          <w:szCs w:val="28"/>
                        </w:rPr>
                      </m:ctrlPr>
                    </m:sSubPr>
                    <m:e>
                      <m:r>
                        <w:rPr>
                          <w:rFonts w:ascii="Cambria Math" w:eastAsia="仿宋_GB2312" w:hAnsi="Cambria Math" w:cs="Times New Roman"/>
                          <w:sz w:val="28"/>
                          <w:szCs w:val="28"/>
                        </w:rPr>
                        <m:t>M</m:t>
                      </m:r>
                    </m:e>
                    <m:sub>
                      <m:r>
                        <w:rPr>
                          <w:rFonts w:ascii="Cambria Math" w:eastAsia="仿宋_GB2312" w:hAnsi="Cambria Math" w:cs="Times New Roman"/>
                          <w:sz w:val="28"/>
                          <w:szCs w:val="28"/>
                        </w:rPr>
                        <m:t>i</m:t>
                      </m:r>
                    </m:sub>
                  </m:sSub>
                  <m:r>
                    <w:rPr>
                      <w:rFonts w:ascii="Cambria Math" w:eastAsia="仿宋_GB2312" w:hAnsi="Cambria Math" w:cs="Times New Roman"/>
                      <w:sz w:val="28"/>
                      <w:szCs w:val="28"/>
                    </w:rPr>
                    <m:t>, 250</m:t>
                  </m:r>
                  <m:r>
                    <m:rPr>
                      <m:sty m:val="p"/>
                    </m:rPr>
                    <w:rPr>
                      <w:rFonts w:ascii="Cambria Math" w:eastAsia="仿宋_GB2312" w:hAnsi="Cambria Math" w:cs="Times New Roman" w:hint="eastAsia"/>
                      <w:sz w:val="28"/>
                      <w:szCs w:val="28"/>
                    </w:rPr>
                    <m:t>）</m:t>
                  </m:r>
                  <m:r>
                    <m:rPr>
                      <m:sty m:val="p"/>
                    </m:rPr>
                    <w:rPr>
                      <w:rFonts w:ascii="Cambria Math" w:eastAsia="仿宋_GB2312" w:hAnsi="Cambria Math" w:cs="Times New Roman"/>
                      <w:sz w:val="28"/>
                      <w:szCs w:val="28"/>
                    </w:rPr>
                    <m:t>⁡</m:t>
                  </m:r>
                </m:num>
                <m:den>
                  <m:r>
                    <w:rPr>
                      <w:rFonts w:ascii="Cambria Math" w:eastAsia="仿宋_GB2312" w:hAnsi="Cambria Math" w:cs="Times New Roman"/>
                      <w:sz w:val="28"/>
                      <w:szCs w:val="28"/>
                    </w:rPr>
                    <m:t>250</m:t>
                  </m:r>
                </m:den>
              </m:f>
            </m:e>
          </m:rad>
        </m:oMath>
      </m:oMathPara>
    </w:p>
    <w:p w14:paraId="55274440"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其中：</w:t>
      </w:r>
      <w:r>
        <w:rPr>
          <w:rFonts w:ascii="仿宋_GB2312" w:eastAsia="仿宋_GB2312" w:hAnsi="Times New Roman" w:cs="Times New Roman" w:hint="eastAsia"/>
          <w:bCs/>
          <w:sz w:val="30"/>
          <w:szCs w:val="30"/>
        </w:rPr>
        <w:t>M</w:t>
      </w:r>
      <w:r>
        <w:rPr>
          <w:rFonts w:ascii="仿宋_GB2312" w:eastAsia="仿宋_GB2312" w:hAnsi="Times New Roman" w:cs="Times New Roman"/>
          <w:bCs/>
          <w:sz w:val="30"/>
          <w:szCs w:val="30"/>
          <w:vertAlign w:val="subscript"/>
        </w:rPr>
        <w:t>i</w:t>
      </w:r>
      <w:r>
        <w:rPr>
          <w:rFonts w:ascii="仿宋_GB2312" w:eastAsia="仿宋_GB2312" w:hAnsi="Times New Roman" w:cs="Times New Roman" w:hint="eastAsia"/>
          <w:bCs/>
          <w:sz w:val="30"/>
          <w:szCs w:val="30"/>
        </w:rPr>
        <w:t>是交易</w:t>
      </w:r>
      <w:proofErr w:type="spellStart"/>
      <w:r>
        <w:rPr>
          <w:rFonts w:ascii="仿宋_GB2312" w:eastAsia="仿宋_GB2312" w:hAnsi="Times New Roman" w:cs="Times New Roman" w:hint="eastAsia"/>
          <w:bCs/>
          <w:sz w:val="30"/>
          <w:szCs w:val="30"/>
        </w:rPr>
        <w:t>i</w:t>
      </w:r>
      <w:proofErr w:type="spellEnd"/>
      <w:r>
        <w:rPr>
          <w:rFonts w:ascii="仿宋_GB2312" w:eastAsia="仿宋_GB2312" w:hAnsi="Times New Roman" w:cs="Times New Roman" w:hint="eastAsia"/>
          <w:bCs/>
          <w:sz w:val="30"/>
          <w:szCs w:val="30"/>
        </w:rPr>
        <w:t>的剩余期限，最小为</w:t>
      </w:r>
      <w:r>
        <w:rPr>
          <w:rFonts w:ascii="仿宋_GB2312" w:eastAsia="仿宋_GB2312" w:hAnsi="Times New Roman" w:cs="Times New Roman" w:hint="eastAsia"/>
          <w:bCs/>
          <w:sz w:val="30"/>
          <w:szCs w:val="30"/>
        </w:rPr>
        <w:t>10</w:t>
      </w:r>
      <w:r>
        <w:rPr>
          <w:rFonts w:ascii="仿宋_GB2312" w:eastAsia="仿宋_GB2312" w:hAnsi="Times New Roman" w:cs="Times New Roman" w:hint="eastAsia"/>
          <w:bCs/>
          <w:sz w:val="30"/>
          <w:szCs w:val="30"/>
        </w:rPr>
        <w:t>个工作日。</w:t>
      </w:r>
    </w:p>
    <w:p w14:paraId="5E721CFF"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某些结构化衍生工具规定在特定日期，其未偿付风险暴露将被重置并结算，同时价值清零，此时剩余期限</w:t>
      </w:r>
      <w:r>
        <w:rPr>
          <w:rFonts w:ascii="仿宋_GB2312" w:eastAsia="仿宋_GB2312" w:hAnsi="Times New Roman" w:cs="Times New Roman" w:hint="eastAsia"/>
          <w:bCs/>
          <w:sz w:val="30"/>
          <w:szCs w:val="30"/>
        </w:rPr>
        <w:t>的到期日为下一个重置日。</w:t>
      </w:r>
    </w:p>
    <w:p w14:paraId="5ACF42FE"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b.</w:t>
      </w:r>
      <w:r>
        <w:rPr>
          <w:rFonts w:ascii="仿宋_GB2312" w:eastAsia="仿宋_GB2312" w:hAnsi="Times New Roman" w:cs="Times New Roman" w:hint="eastAsia"/>
          <w:bCs/>
          <w:sz w:val="30"/>
          <w:szCs w:val="30"/>
        </w:rPr>
        <w:t>对于保证金交易，期限因子计算公式如下：</w:t>
      </w:r>
    </w:p>
    <w:p w14:paraId="5C49FABD" w14:textId="77777777" w:rsidR="0056070C" w:rsidRDefault="00BB5E36">
      <w:pPr>
        <w:jc w:val="center"/>
        <w:rPr>
          <w:rFonts w:ascii="仿宋_GB2312" w:eastAsia="仿宋_GB2312" w:hAnsi="Times New Roman" w:cs="Times New Roman"/>
          <w:bCs/>
          <w:sz w:val="30"/>
          <w:szCs w:val="30"/>
        </w:rPr>
      </w:pPr>
      <w:r>
        <w:rPr>
          <w:rFonts w:ascii="仿宋_GB2312" w:eastAsia="仿宋_GB2312" w:hAnsi="Times New Roman" w:cs="Times New Roman"/>
          <w:noProof/>
          <w:position w:val="-26"/>
          <w:sz w:val="30"/>
          <w:szCs w:val="30"/>
        </w:rPr>
        <w:drawing>
          <wp:inline distT="0" distB="0" distL="114300" distR="114300" wp14:anchorId="3EBC0C19" wp14:editId="4F28E543">
            <wp:extent cx="1783080" cy="495300"/>
            <wp:effectExtent l="0" t="0" r="0" b="1270"/>
            <wp:docPr id="3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0"/>
                    <pic:cNvPicPr>
                      <a:picLocks noChangeAspect="1"/>
                    </pic:cNvPicPr>
                  </pic:nvPicPr>
                  <pic:blipFill>
                    <a:blip r:embed="rId40"/>
                    <a:stretch>
                      <a:fillRect/>
                    </a:stretch>
                  </pic:blipFill>
                  <pic:spPr>
                    <a:xfrm>
                      <a:off x="0" y="0"/>
                      <a:ext cx="1783080" cy="495300"/>
                    </a:xfrm>
                    <a:prstGeom prst="rect">
                      <a:avLst/>
                    </a:prstGeom>
                    <a:noFill/>
                    <a:ln>
                      <a:noFill/>
                    </a:ln>
                  </pic:spPr>
                </pic:pic>
              </a:graphicData>
            </a:graphic>
          </wp:inline>
        </w:drawing>
      </w:r>
    </w:p>
    <w:p w14:paraId="1D251727"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其中：</w:t>
      </w:r>
      <w:r>
        <w:rPr>
          <w:rFonts w:ascii="仿宋_GB2312" w:eastAsia="仿宋_GB2312" w:hAnsi="Times New Roman" w:cs="Times New Roman" w:hint="eastAsia"/>
          <w:bCs/>
          <w:sz w:val="30"/>
          <w:szCs w:val="30"/>
        </w:rPr>
        <w:t>MPOR</w:t>
      </w:r>
      <w:r>
        <w:rPr>
          <w:rFonts w:ascii="仿宋_GB2312" w:eastAsia="仿宋_GB2312" w:hAnsi="Times New Roman" w:cs="Times New Roman" w:hint="eastAsia"/>
          <w:bCs/>
          <w:sz w:val="30"/>
          <w:szCs w:val="30"/>
        </w:rPr>
        <w:t>取决于保证金风险期间，是指自违约交易对手最后一次提供足额保证金的时点至商业银行与该交易对手交易终止并完全对冲市场风险的期间。其中，中央清算的衍生工具交易最小为</w:t>
      </w:r>
      <w:r>
        <w:rPr>
          <w:rFonts w:ascii="仿宋_GB2312" w:eastAsia="仿宋_GB2312" w:hAnsi="Times New Roman" w:cs="Times New Roman" w:hint="eastAsia"/>
          <w:bCs/>
          <w:sz w:val="30"/>
          <w:szCs w:val="30"/>
        </w:rPr>
        <w:t>10</w:t>
      </w:r>
      <w:r>
        <w:rPr>
          <w:rFonts w:ascii="仿宋_GB2312" w:eastAsia="仿宋_GB2312" w:hAnsi="Times New Roman" w:cs="Times New Roman" w:hint="eastAsia"/>
          <w:bCs/>
          <w:sz w:val="30"/>
          <w:szCs w:val="30"/>
        </w:rPr>
        <w:t>个工作日；非中央清算的衍生工具交易根据保证金协议确定，最小为</w:t>
      </w:r>
      <w:r>
        <w:rPr>
          <w:rFonts w:ascii="仿宋_GB2312" w:eastAsia="仿宋_GB2312" w:hAnsi="Times New Roman" w:cs="Times New Roman" w:hint="eastAsia"/>
          <w:bCs/>
          <w:sz w:val="30"/>
          <w:szCs w:val="30"/>
        </w:rPr>
        <w:t>10+N-1</w:t>
      </w:r>
      <w:r>
        <w:rPr>
          <w:rFonts w:ascii="仿宋_GB2312" w:eastAsia="仿宋_GB2312" w:hAnsi="Times New Roman" w:cs="Times New Roman" w:hint="eastAsia"/>
          <w:bCs/>
          <w:sz w:val="30"/>
          <w:szCs w:val="30"/>
        </w:rPr>
        <w:t>天（</w:t>
      </w:r>
      <w:r>
        <w:rPr>
          <w:rFonts w:ascii="仿宋_GB2312" w:eastAsia="仿宋_GB2312" w:hAnsi="Times New Roman" w:cs="Times New Roman" w:hint="eastAsia"/>
          <w:bCs/>
          <w:sz w:val="30"/>
          <w:szCs w:val="30"/>
        </w:rPr>
        <w:t>N</w:t>
      </w:r>
      <w:r>
        <w:rPr>
          <w:rFonts w:ascii="仿宋_GB2312" w:eastAsia="仿宋_GB2312" w:hAnsi="Times New Roman" w:cs="Times New Roman" w:hint="eastAsia"/>
          <w:bCs/>
          <w:sz w:val="30"/>
          <w:szCs w:val="30"/>
        </w:rPr>
        <w:t>为盯市保证金交换的工作日间隔，逐日盯市保证金下</w:t>
      </w:r>
      <w:r>
        <w:rPr>
          <w:rFonts w:ascii="仿宋_GB2312" w:eastAsia="仿宋_GB2312" w:hAnsi="Times New Roman" w:cs="Times New Roman" w:hint="eastAsia"/>
          <w:bCs/>
          <w:sz w:val="30"/>
          <w:szCs w:val="30"/>
        </w:rPr>
        <w:t>N</w:t>
      </w:r>
      <w:r>
        <w:rPr>
          <w:rFonts w:ascii="仿宋_GB2312" w:eastAsia="仿宋_GB2312" w:hAnsi="Times New Roman" w:cs="Times New Roman" w:hint="eastAsia"/>
          <w:bCs/>
          <w:sz w:val="30"/>
          <w:szCs w:val="30"/>
        </w:rPr>
        <w:t>为</w:t>
      </w: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）；包括</w:t>
      </w:r>
      <w:r>
        <w:rPr>
          <w:rFonts w:ascii="仿宋_GB2312" w:eastAsia="仿宋_GB2312" w:hAnsi="Times New Roman" w:cs="Times New Roman" w:hint="eastAsia"/>
          <w:bCs/>
          <w:sz w:val="30"/>
          <w:szCs w:val="30"/>
        </w:rPr>
        <w:t>5000</w:t>
      </w:r>
      <w:r>
        <w:rPr>
          <w:rFonts w:ascii="仿宋_GB2312" w:eastAsia="仿宋_GB2312" w:hAnsi="Times New Roman" w:cs="Times New Roman" w:hint="eastAsia"/>
          <w:bCs/>
          <w:sz w:val="30"/>
          <w:szCs w:val="30"/>
        </w:rPr>
        <w:t>笔以上与非中央交易对手交易的净额组合最小为</w:t>
      </w:r>
      <w:r>
        <w:rPr>
          <w:rFonts w:ascii="仿宋_GB2312" w:eastAsia="仿宋_GB2312" w:hAnsi="Times New Roman" w:cs="Times New Roman" w:hint="eastAsia"/>
          <w:bCs/>
          <w:sz w:val="30"/>
          <w:szCs w:val="30"/>
        </w:rPr>
        <w:t>20</w:t>
      </w:r>
      <w:r>
        <w:rPr>
          <w:rFonts w:ascii="仿宋_GB2312" w:eastAsia="仿宋_GB2312" w:hAnsi="Times New Roman" w:cs="Times New Roman" w:hint="eastAsia"/>
          <w:bCs/>
          <w:sz w:val="30"/>
          <w:szCs w:val="30"/>
        </w:rPr>
        <w:t>个工作日；若净额结算组合中包含缺乏流动性的质押品或衍生工具，最小为</w:t>
      </w:r>
      <w:r>
        <w:rPr>
          <w:rFonts w:ascii="仿宋_GB2312" w:eastAsia="仿宋_GB2312" w:hAnsi="Times New Roman" w:cs="Times New Roman" w:hint="eastAsia"/>
          <w:bCs/>
          <w:sz w:val="30"/>
          <w:szCs w:val="30"/>
        </w:rPr>
        <w:t>20</w:t>
      </w:r>
      <w:r>
        <w:rPr>
          <w:rFonts w:ascii="仿宋_GB2312" w:eastAsia="仿宋_GB2312" w:hAnsi="Times New Roman" w:cs="Times New Roman" w:hint="eastAsia"/>
          <w:bCs/>
          <w:sz w:val="30"/>
          <w:szCs w:val="30"/>
        </w:rPr>
        <w:t>个工作日；具有争议的净额结算组合保证金风险期限要乘以</w:t>
      </w: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。缺乏流动性是指在压力环境下，没有连续的活跃市场报价，如两个工作日内无可成交有效报价。具有争议的净额结算组合是指：商业银行与该净额结算组合内的交易对手，在过去</w:t>
      </w: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个月内发生至少</w:t>
      </w: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次</w:t>
      </w:r>
      <w:r>
        <w:rPr>
          <w:rFonts w:ascii="仿宋_GB2312" w:eastAsia="仿宋_GB2312" w:hAnsi="Times New Roman" w:cs="Times New Roman" w:hint="eastAsia"/>
          <w:bCs/>
          <w:sz w:val="30"/>
          <w:szCs w:val="30"/>
        </w:rPr>
        <w:lastRenderedPageBreak/>
        <w:t>因追加保证金引发的争议，且在规定的保证金期限内未能解决。</w:t>
      </w:r>
    </w:p>
    <w:p w14:paraId="32F5FBA0"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13</w:t>
      </w:r>
      <w:r>
        <w:rPr>
          <w:rFonts w:ascii="仿宋_GB2312" w:eastAsia="仿宋_GB2312" w:hAnsi="Times New Roman" w:cs="Times New Roman" w:hint="eastAsia"/>
          <w:bCs/>
          <w:sz w:val="30"/>
          <w:szCs w:val="30"/>
        </w:rPr>
        <w:t>）对于参考标的为两个风险因子的基差且以同一货币计价的衍生工具，应根据基差类别分别视为单独的抵消组合，如以</w:t>
      </w: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个月</w:t>
      </w:r>
      <w:proofErr w:type="spellStart"/>
      <w:r>
        <w:rPr>
          <w:rFonts w:ascii="仿宋_GB2312" w:eastAsia="仿宋_GB2312" w:hAnsi="Times New Roman" w:cs="Times New Roman" w:hint="eastAsia"/>
          <w:bCs/>
          <w:sz w:val="30"/>
          <w:szCs w:val="30"/>
        </w:rPr>
        <w:t>Shibor</w:t>
      </w:r>
      <w:proofErr w:type="spellEnd"/>
      <w:r>
        <w:rPr>
          <w:rFonts w:ascii="仿宋_GB2312" w:eastAsia="仿宋_GB2312" w:hAnsi="Times New Roman" w:cs="Times New Roman" w:hint="eastAsia"/>
          <w:bCs/>
          <w:sz w:val="30"/>
          <w:szCs w:val="30"/>
        </w:rPr>
        <w:t>与</w:t>
      </w: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个月</w:t>
      </w:r>
      <w:proofErr w:type="spellStart"/>
      <w:r>
        <w:rPr>
          <w:rFonts w:ascii="仿宋_GB2312" w:eastAsia="仿宋_GB2312" w:hAnsi="Times New Roman" w:cs="Times New Roman" w:hint="eastAsia"/>
          <w:bCs/>
          <w:sz w:val="30"/>
          <w:szCs w:val="30"/>
        </w:rPr>
        <w:t>Shibor</w:t>
      </w:r>
      <w:proofErr w:type="spellEnd"/>
      <w:r>
        <w:rPr>
          <w:rFonts w:ascii="仿宋_GB2312" w:eastAsia="仿宋_GB2312" w:hAnsi="Times New Roman" w:cs="Times New Roman" w:hint="eastAsia"/>
          <w:bCs/>
          <w:sz w:val="30"/>
          <w:szCs w:val="30"/>
        </w:rPr>
        <w:t>基差、</w:t>
      </w:r>
      <w:r>
        <w:rPr>
          <w:rFonts w:ascii="仿宋_GB2312" w:eastAsia="仿宋_GB2312" w:hAnsi="Times New Roman" w:cs="Times New Roman" w:hint="eastAsia"/>
          <w:bCs/>
          <w:sz w:val="30"/>
          <w:szCs w:val="30"/>
        </w:rPr>
        <w:t>10</w:t>
      </w:r>
      <w:r>
        <w:rPr>
          <w:rFonts w:ascii="仿宋_GB2312" w:eastAsia="仿宋_GB2312" w:hAnsi="Times New Roman" w:cs="Times New Roman" w:hint="eastAsia"/>
          <w:bCs/>
          <w:sz w:val="30"/>
          <w:szCs w:val="30"/>
        </w:rPr>
        <w:t>年国债收益率与</w:t>
      </w:r>
      <w:r>
        <w:rPr>
          <w:rFonts w:ascii="仿宋_GB2312" w:eastAsia="仿宋_GB2312" w:hAnsi="Times New Roman" w:cs="Times New Roman" w:hint="eastAsia"/>
          <w:bCs/>
          <w:sz w:val="30"/>
          <w:szCs w:val="30"/>
        </w:rPr>
        <w:t>10</w:t>
      </w:r>
      <w:r>
        <w:rPr>
          <w:rFonts w:ascii="仿宋_GB2312" w:eastAsia="仿宋_GB2312" w:hAnsi="Times New Roman" w:cs="Times New Roman" w:hint="eastAsia"/>
          <w:bCs/>
          <w:sz w:val="30"/>
          <w:szCs w:val="30"/>
        </w:rPr>
        <w:t>年国开债收益率基差为标的的衍生工具应分别视为单</w:t>
      </w:r>
      <w:r>
        <w:rPr>
          <w:rFonts w:ascii="仿宋_GB2312" w:eastAsia="仿宋_GB2312" w:hAnsi="Times New Roman" w:cs="Times New Roman" w:hint="eastAsia"/>
          <w:bCs/>
          <w:sz w:val="30"/>
          <w:szCs w:val="30"/>
        </w:rPr>
        <w:t>独的抵消组合。上述基差类抵消组合的监管因子应在表</w:t>
      </w: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基础上乘以</w:t>
      </w:r>
      <w:r>
        <w:rPr>
          <w:rFonts w:ascii="仿宋_GB2312" w:eastAsia="仿宋_GB2312" w:hAnsi="Times New Roman" w:cs="Times New Roman" w:hint="eastAsia"/>
          <w:bCs/>
          <w:sz w:val="30"/>
          <w:szCs w:val="30"/>
        </w:rPr>
        <w:t>0.5</w:t>
      </w:r>
      <w:r>
        <w:rPr>
          <w:rFonts w:ascii="仿宋_GB2312" w:eastAsia="仿宋_GB2312" w:hAnsi="Times New Roman" w:cs="Times New Roman" w:hint="eastAsia"/>
          <w:bCs/>
          <w:sz w:val="30"/>
          <w:szCs w:val="30"/>
        </w:rPr>
        <w:t>。对于参考标的为两个风险因子的基差且以不同货币计价的衍生工具，如货币利率互换，则应视为汇率类衍生工具而非利率基差类衍生工具。</w:t>
      </w:r>
    </w:p>
    <w:p w14:paraId="21C2F567"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14</w:t>
      </w:r>
      <w:r>
        <w:rPr>
          <w:rFonts w:ascii="仿宋_GB2312" w:eastAsia="仿宋_GB2312" w:hAnsi="Times New Roman" w:cs="Times New Roman" w:hint="eastAsia"/>
          <w:bCs/>
          <w:sz w:val="30"/>
          <w:szCs w:val="30"/>
        </w:rPr>
        <w:t>）对于参考标的为风险因子波动率的衍生工具，应根据波动率标的的资产类别分别视为单独的抵消组合，如所有股票波动率交易应视为一个抵消组合。上述波动率类抵消组合的监管因子应在表</w:t>
      </w: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基础上乘以</w:t>
      </w: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w:t>
      </w:r>
    </w:p>
    <w:p w14:paraId="4F4D46CF"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对于未签订净额结算和保证金协议的卖出期权交易，若其期权费已交割，可认为违约风险暴露为</w:t>
      </w:r>
      <w:r>
        <w:rPr>
          <w:rFonts w:ascii="仿宋_GB2312" w:eastAsia="仿宋_GB2312" w:hAnsi="Times New Roman" w:cs="Times New Roman" w:hint="eastAsia"/>
          <w:bCs/>
          <w:sz w:val="30"/>
          <w:szCs w:val="30"/>
        </w:rPr>
        <w:t>0</w:t>
      </w:r>
      <w:r>
        <w:rPr>
          <w:rFonts w:ascii="仿宋_GB2312" w:eastAsia="仿宋_GB2312" w:hAnsi="Times New Roman" w:cs="Times New Roman" w:hint="eastAsia"/>
          <w:bCs/>
          <w:sz w:val="30"/>
          <w:szCs w:val="30"/>
        </w:rPr>
        <w:t>；对于为对冲银行账簿信用风险或交易对手</w:t>
      </w:r>
      <w:r>
        <w:rPr>
          <w:rFonts w:ascii="仿宋_GB2312" w:eastAsia="仿宋_GB2312" w:hAnsi="Times New Roman" w:cs="Times New Roman" w:hint="eastAsia"/>
          <w:bCs/>
          <w:sz w:val="30"/>
          <w:szCs w:val="30"/>
        </w:rPr>
        <w:t>信用风险购买的合格信用衍生工具，若银行在信用框架下已考虑风险缓释作用并足额计提风险加权资产，可认为违约风险暴露为</w:t>
      </w:r>
      <w:r>
        <w:rPr>
          <w:rFonts w:ascii="仿宋_GB2312" w:eastAsia="仿宋_GB2312" w:hAnsi="Times New Roman" w:cs="Times New Roman" w:hint="eastAsia"/>
          <w:bCs/>
          <w:sz w:val="30"/>
          <w:szCs w:val="30"/>
        </w:rPr>
        <w:t>0</w:t>
      </w:r>
      <w:r>
        <w:rPr>
          <w:rFonts w:ascii="仿宋_GB2312" w:eastAsia="仿宋_GB2312" w:hAnsi="Times New Roman" w:cs="Times New Roman" w:hint="eastAsia"/>
          <w:bCs/>
          <w:sz w:val="30"/>
          <w:szCs w:val="30"/>
        </w:rPr>
        <w:t>，其中合格信用衍生工具应符合本办法附件</w:t>
      </w: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第四部分的标准；对于划入银行账簿的信用衍生工具卖出保护交易，若银行视为保证计算信用风险加权资产，可认为违约风险暴露为</w:t>
      </w:r>
      <w:r>
        <w:rPr>
          <w:rFonts w:ascii="仿宋_GB2312" w:eastAsia="仿宋_GB2312" w:hAnsi="Times New Roman" w:cs="Times New Roman" w:hint="eastAsia"/>
          <w:bCs/>
          <w:sz w:val="30"/>
          <w:szCs w:val="30"/>
        </w:rPr>
        <w:t>0</w:t>
      </w:r>
      <w:r>
        <w:rPr>
          <w:rFonts w:ascii="仿宋_GB2312" w:eastAsia="仿宋_GB2312" w:hAnsi="Times New Roman" w:cs="Times New Roman" w:hint="eastAsia"/>
          <w:bCs/>
          <w:sz w:val="30"/>
          <w:szCs w:val="30"/>
        </w:rPr>
        <w:t>；对于未签订净额结算和保证金协议的信用衍生工具卖出保护交易，违约风险暴露以信用保护买方尚未支付的费用为上限。</w:t>
      </w:r>
    </w:p>
    <w:p w14:paraId="62A25D98"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bCs/>
          <w:sz w:val="30"/>
          <w:szCs w:val="30"/>
        </w:rPr>
        <w:t>5</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多个保证金协议和净额结算组合的处理</w:t>
      </w:r>
    </w:p>
    <w:p w14:paraId="09ED8DBA"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）单个净额结算组合下的多个保证金协议</w:t>
      </w:r>
    </w:p>
    <w:p w14:paraId="7962D58F"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若存在以下情形，可认定单个净额结算组合下有多个保证金协议：</w:t>
      </w:r>
    </w:p>
    <w:p w14:paraId="5FA7C99B"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a.</w:t>
      </w:r>
      <w:r>
        <w:rPr>
          <w:rFonts w:ascii="仿宋_GB2312" w:eastAsia="仿宋_GB2312" w:hAnsi="Times New Roman" w:cs="Times New Roman" w:hint="eastAsia"/>
          <w:bCs/>
          <w:sz w:val="30"/>
          <w:szCs w:val="30"/>
        </w:rPr>
        <w:t>净额结算组合同时包括保证金交易和无保证金交易。</w:t>
      </w:r>
    </w:p>
    <w:p w14:paraId="42EE267C"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b.</w:t>
      </w:r>
      <w:r>
        <w:rPr>
          <w:rFonts w:ascii="仿宋_GB2312" w:eastAsia="仿宋_GB2312" w:hAnsi="Times New Roman" w:cs="Times New Roman" w:hint="eastAsia"/>
          <w:bCs/>
          <w:sz w:val="30"/>
          <w:szCs w:val="30"/>
        </w:rPr>
        <w:t>净额结算组合由多个变动保证金协议覆盖的保证金交易</w:t>
      </w:r>
      <w:r>
        <w:rPr>
          <w:rFonts w:ascii="仿宋_GB2312" w:eastAsia="仿宋_GB2312" w:hAnsi="Times New Roman" w:cs="Times New Roman" w:hint="eastAsia"/>
          <w:bCs/>
          <w:sz w:val="30"/>
          <w:szCs w:val="30"/>
        </w:rPr>
        <w:lastRenderedPageBreak/>
        <w:t>组成。</w:t>
      </w:r>
    </w:p>
    <w:p w14:paraId="45474175"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重置成本的计算公式与保证金交易相同，其中：</w:t>
      </w:r>
    </w:p>
    <w:p w14:paraId="59A6FA3F"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V</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C</w:t>
      </w:r>
      <w:r>
        <w:rPr>
          <w:rFonts w:ascii="仿宋_GB2312" w:eastAsia="仿宋_GB2312" w:hAnsi="Times New Roman" w:cs="Times New Roman" w:hint="eastAsia"/>
          <w:bCs/>
          <w:sz w:val="30"/>
          <w:szCs w:val="30"/>
        </w:rPr>
        <w:t>和</w:t>
      </w:r>
      <w:r>
        <w:rPr>
          <w:rFonts w:ascii="仿宋_GB2312" w:eastAsia="仿宋_GB2312" w:hAnsi="Times New Roman" w:cs="Times New Roman" w:hint="eastAsia"/>
          <w:bCs/>
          <w:sz w:val="30"/>
          <w:szCs w:val="30"/>
        </w:rPr>
        <w:t>N</w:t>
      </w:r>
      <w:r>
        <w:rPr>
          <w:rFonts w:ascii="仿宋_GB2312" w:eastAsia="仿宋_GB2312" w:hAnsi="Times New Roman" w:cs="Times New Roman"/>
          <w:bCs/>
          <w:sz w:val="30"/>
          <w:szCs w:val="30"/>
        </w:rPr>
        <w:t>ICA</w:t>
      </w:r>
      <w:r>
        <w:rPr>
          <w:rFonts w:ascii="仿宋_GB2312" w:eastAsia="仿宋_GB2312" w:hAnsi="Times New Roman" w:cs="Times New Roman" w:hint="eastAsia"/>
          <w:bCs/>
          <w:sz w:val="30"/>
          <w:szCs w:val="30"/>
        </w:rPr>
        <w:t>的定义与保证金交易相同。</w:t>
      </w:r>
    </w:p>
    <w:p w14:paraId="75DB2D6F"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TH</w:t>
      </w:r>
      <w:r>
        <w:rPr>
          <w:rFonts w:ascii="仿宋_GB2312" w:eastAsia="仿宋_GB2312" w:hAnsi="Times New Roman" w:cs="Times New Roman" w:hint="eastAsia"/>
          <w:bCs/>
          <w:sz w:val="30"/>
          <w:szCs w:val="30"/>
        </w:rPr>
        <w:t>为该净额结算组合下所有变动保证金协议对应的</w:t>
      </w:r>
      <w:r>
        <w:rPr>
          <w:rFonts w:ascii="仿宋_GB2312" w:eastAsia="仿宋_GB2312" w:hAnsi="Times New Roman" w:cs="Times New Roman" w:hint="eastAsia"/>
          <w:bCs/>
          <w:sz w:val="30"/>
          <w:szCs w:val="30"/>
        </w:rPr>
        <w:t>TH</w:t>
      </w:r>
      <w:r>
        <w:rPr>
          <w:rFonts w:ascii="仿宋_GB2312" w:eastAsia="仿宋_GB2312" w:hAnsi="Times New Roman" w:cs="Times New Roman" w:hint="eastAsia"/>
          <w:bCs/>
          <w:sz w:val="30"/>
          <w:szCs w:val="30"/>
        </w:rPr>
        <w:t>之和。</w:t>
      </w:r>
    </w:p>
    <w:p w14:paraId="746AE066"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MTA</w:t>
      </w:r>
      <w:r>
        <w:rPr>
          <w:rFonts w:ascii="仿宋_GB2312" w:eastAsia="仿宋_GB2312" w:hAnsi="Times New Roman" w:cs="Times New Roman" w:hint="eastAsia"/>
          <w:bCs/>
          <w:sz w:val="30"/>
          <w:szCs w:val="30"/>
        </w:rPr>
        <w:t>为该净额结算组合下所有变动保证金协议对应的</w:t>
      </w:r>
      <w:r>
        <w:rPr>
          <w:rFonts w:ascii="仿宋_GB2312" w:eastAsia="仿宋_GB2312" w:hAnsi="Times New Roman" w:cs="Times New Roman" w:hint="eastAsia"/>
          <w:bCs/>
          <w:sz w:val="30"/>
          <w:szCs w:val="30"/>
        </w:rPr>
        <w:t>MTA</w:t>
      </w:r>
      <w:r>
        <w:rPr>
          <w:rFonts w:ascii="仿宋_GB2312" w:eastAsia="仿宋_GB2312" w:hAnsi="Times New Roman" w:cs="Times New Roman" w:hint="eastAsia"/>
          <w:bCs/>
          <w:sz w:val="30"/>
          <w:szCs w:val="30"/>
        </w:rPr>
        <w:t>之和。</w:t>
      </w:r>
    </w:p>
    <w:p w14:paraId="432FAA9B"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潜在风险暴露为子净额结算组合的潜在风险暴露之和，其中子净额结算组合应按以下要求划分：</w:t>
      </w:r>
    </w:p>
    <w:p w14:paraId="16B0D866"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a.</w:t>
      </w:r>
      <w:r>
        <w:rPr>
          <w:rFonts w:ascii="仿宋_GB2312" w:eastAsia="仿宋_GB2312" w:hAnsi="Times New Roman" w:cs="Times New Roman" w:hint="eastAsia"/>
          <w:bCs/>
          <w:sz w:val="30"/>
          <w:szCs w:val="30"/>
        </w:rPr>
        <w:t>该净额结算组合下的所有无保证金交易构成子净额</w:t>
      </w:r>
      <w:r>
        <w:rPr>
          <w:rFonts w:ascii="仿宋_GB2312" w:eastAsia="仿宋_GB2312" w:hAnsi="Times New Roman" w:cs="Times New Roman" w:hint="eastAsia"/>
          <w:bCs/>
          <w:sz w:val="30"/>
          <w:szCs w:val="30"/>
        </w:rPr>
        <w:t>结算组合。</w:t>
      </w:r>
    </w:p>
    <w:p w14:paraId="196A7D99"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b.</w:t>
      </w:r>
      <w:r>
        <w:rPr>
          <w:rFonts w:ascii="仿宋_GB2312" w:eastAsia="仿宋_GB2312" w:hAnsi="Times New Roman" w:cs="Times New Roman" w:hint="eastAsia"/>
          <w:bCs/>
          <w:sz w:val="30"/>
          <w:szCs w:val="30"/>
        </w:rPr>
        <w:t>该净额结算组合下适用同一</w:t>
      </w:r>
      <w:r>
        <w:rPr>
          <w:rFonts w:ascii="仿宋_GB2312" w:eastAsia="仿宋_GB2312" w:hAnsi="Times New Roman" w:cs="Times New Roman" w:hint="eastAsia"/>
          <w:bCs/>
          <w:sz w:val="30"/>
          <w:szCs w:val="30"/>
        </w:rPr>
        <w:t>MPOR</w:t>
      </w:r>
      <w:r>
        <w:rPr>
          <w:rFonts w:ascii="仿宋_GB2312" w:eastAsia="仿宋_GB2312" w:hAnsi="Times New Roman" w:cs="Times New Roman" w:hint="eastAsia"/>
          <w:bCs/>
          <w:sz w:val="30"/>
          <w:szCs w:val="30"/>
        </w:rPr>
        <w:t>的保证金交易构成子净额结算组合。</w:t>
      </w:r>
    </w:p>
    <w:p w14:paraId="2561276E"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）单个保证金协议下的多个净额结算组合</w:t>
      </w:r>
    </w:p>
    <w:p w14:paraId="1B32806E"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重置成本计算公式如下：</w:t>
      </w:r>
    </w:p>
    <w:p w14:paraId="7B75AACA" w14:textId="77777777" w:rsidR="0056070C" w:rsidRDefault="00BB5E36">
      <w:pPr>
        <w:ind w:firstLineChars="200" w:firstLine="560"/>
        <w:jc w:val="center"/>
        <w:rPr>
          <w:rFonts w:ascii="仿宋_GB2312" w:eastAsia="仿宋_GB2312"/>
          <w:sz w:val="30"/>
          <w:szCs w:val="30"/>
        </w:rPr>
      </w:pPr>
      <m:oMathPara>
        <m:oMath>
          <m:r>
            <w:rPr>
              <w:rFonts w:ascii="Cambria Math" w:eastAsia="仿宋_GB2312" w:hAnsi="Cambria Math"/>
              <w:sz w:val="28"/>
              <w:szCs w:val="28"/>
            </w:rPr>
            <m:t>R</m:t>
          </m:r>
          <m:sSub>
            <m:sSubPr>
              <m:ctrlPr>
                <w:rPr>
                  <w:rFonts w:ascii="Cambria Math" w:eastAsia="仿宋_GB2312" w:hAnsi="Cambria Math" w:hint="eastAsia"/>
                  <w:i/>
                  <w:sz w:val="28"/>
                  <w:szCs w:val="28"/>
                </w:rPr>
              </m:ctrlPr>
            </m:sSubPr>
            <m:e>
              <m:r>
                <w:rPr>
                  <w:rFonts w:ascii="Cambria Math" w:eastAsia="仿宋_GB2312" w:hAnsi="Cambria Math"/>
                  <w:sz w:val="28"/>
                  <w:szCs w:val="28"/>
                </w:rPr>
                <m:t>C</m:t>
              </m:r>
            </m:e>
            <m:sub>
              <m:r>
                <w:rPr>
                  <w:rFonts w:ascii="Cambria Math" w:eastAsia="仿宋_GB2312" w:hAnsi="Cambria Math"/>
                  <w:sz w:val="28"/>
                  <w:szCs w:val="28"/>
                </w:rPr>
                <m:t>MA</m:t>
              </m:r>
            </m:sub>
          </m:sSub>
          <m:r>
            <w:rPr>
              <w:rFonts w:ascii="Cambria Math" w:eastAsia="仿宋_GB2312" w:hAnsi="Cambria Math"/>
              <w:sz w:val="28"/>
              <w:szCs w:val="28"/>
            </w:rPr>
            <m:t>=</m:t>
          </m:r>
          <m:func>
            <m:funcPr>
              <m:ctrlPr>
                <w:rPr>
                  <w:rFonts w:ascii="Cambria Math" w:eastAsia="仿宋_GB2312" w:hAnsi="Cambria Math" w:hint="eastAsia"/>
                  <w:i/>
                  <w:sz w:val="28"/>
                  <w:szCs w:val="28"/>
                </w:rPr>
              </m:ctrlPr>
            </m:funcPr>
            <m:fName>
              <m:r>
                <w:rPr>
                  <w:rFonts w:ascii="Cambria Math" w:eastAsia="仿宋_GB2312" w:hAnsi="Cambria Math"/>
                  <w:sz w:val="28"/>
                  <w:szCs w:val="28"/>
                </w:rPr>
                <m:t>max</m:t>
              </m:r>
            </m:fName>
            <m:e>
              <m:d>
                <m:dPr>
                  <m:begChr m:val="{"/>
                  <m:endChr m:val="}"/>
                  <m:ctrlPr>
                    <w:rPr>
                      <w:rFonts w:ascii="Cambria Math" w:eastAsia="仿宋_GB2312" w:hAnsi="Cambria Math" w:hint="eastAsia"/>
                      <w:i/>
                      <w:sz w:val="28"/>
                      <w:szCs w:val="28"/>
                    </w:rPr>
                  </m:ctrlPr>
                </m:dPr>
                <m:e>
                  <m:nary>
                    <m:naryPr>
                      <m:chr m:val="∑"/>
                      <m:supHide m:val="1"/>
                      <m:ctrlPr>
                        <w:rPr>
                          <w:rFonts w:ascii="Cambria Math" w:eastAsia="仿宋_GB2312" w:hAnsi="Cambria Math" w:hint="eastAsia"/>
                          <w:i/>
                          <w:sz w:val="28"/>
                          <w:szCs w:val="28"/>
                        </w:rPr>
                      </m:ctrlPr>
                    </m:naryPr>
                    <m:sub>
                      <m:r>
                        <w:rPr>
                          <w:rFonts w:ascii="Cambria Math" w:eastAsia="仿宋_GB2312" w:hAnsi="Cambria Math"/>
                          <w:sz w:val="28"/>
                          <w:szCs w:val="28"/>
                        </w:rPr>
                        <m:t>NS</m:t>
                      </m:r>
                      <m:r>
                        <w:rPr>
                          <w:rFonts w:ascii="Cambria Math" w:eastAsia="仿宋_GB2312" w:hAnsi="Cambria Math"/>
                          <w:sz w:val="28"/>
                          <w:szCs w:val="28"/>
                        </w:rPr>
                        <m:t>∈</m:t>
                      </m:r>
                      <m:r>
                        <w:rPr>
                          <w:rFonts w:ascii="Cambria Math" w:eastAsia="仿宋_GB2312" w:hAnsi="Cambria Math"/>
                          <w:sz w:val="28"/>
                          <w:szCs w:val="28"/>
                        </w:rPr>
                        <m:t>MA</m:t>
                      </m:r>
                    </m:sub>
                    <m:sup/>
                    <m:e>
                      <m:func>
                        <m:funcPr>
                          <m:ctrlPr>
                            <w:rPr>
                              <w:rFonts w:ascii="Cambria Math" w:eastAsia="仿宋_GB2312" w:hAnsi="Cambria Math" w:hint="eastAsia"/>
                              <w:i/>
                              <w:sz w:val="28"/>
                              <w:szCs w:val="28"/>
                            </w:rPr>
                          </m:ctrlPr>
                        </m:funcPr>
                        <m:fName>
                          <m:r>
                            <w:rPr>
                              <w:rFonts w:ascii="Cambria Math" w:eastAsia="仿宋_GB2312" w:hAnsi="Cambria Math"/>
                              <w:sz w:val="28"/>
                              <w:szCs w:val="28"/>
                            </w:rPr>
                            <m:t>max</m:t>
                          </m:r>
                        </m:fName>
                        <m:e>
                          <m:d>
                            <m:dPr>
                              <m:begChr m:val="{"/>
                              <m:endChr m:val="}"/>
                              <m:ctrlPr>
                                <w:rPr>
                                  <w:rFonts w:ascii="Cambria Math" w:eastAsia="仿宋_GB2312" w:hAnsi="Cambria Math" w:hint="eastAsia"/>
                                  <w:i/>
                                  <w:sz w:val="28"/>
                                  <w:szCs w:val="28"/>
                                </w:rPr>
                              </m:ctrlPr>
                            </m:dPr>
                            <m:e>
                              <m:sSub>
                                <m:sSubPr>
                                  <m:ctrlPr>
                                    <w:rPr>
                                      <w:rFonts w:ascii="Cambria Math" w:eastAsia="仿宋_GB2312" w:hAnsi="Cambria Math" w:hint="eastAsia"/>
                                      <w:i/>
                                      <w:sz w:val="28"/>
                                      <w:szCs w:val="28"/>
                                    </w:rPr>
                                  </m:ctrlPr>
                                </m:sSubPr>
                                <m:e>
                                  <m:r>
                                    <w:rPr>
                                      <w:rFonts w:ascii="Cambria Math" w:eastAsia="仿宋_GB2312" w:hAnsi="Cambria Math"/>
                                      <w:sz w:val="28"/>
                                      <w:szCs w:val="28"/>
                                    </w:rPr>
                                    <m:t>V</m:t>
                                  </m:r>
                                </m:e>
                                <m:sub>
                                  <m:r>
                                    <w:rPr>
                                      <w:rFonts w:ascii="Cambria Math" w:eastAsia="仿宋_GB2312" w:hAnsi="Cambria Math"/>
                                      <w:sz w:val="28"/>
                                      <w:szCs w:val="28"/>
                                    </w:rPr>
                                    <m:t>NS</m:t>
                                  </m:r>
                                </m:sub>
                              </m:sSub>
                              <m:r>
                                <w:rPr>
                                  <w:rFonts w:ascii="Cambria Math" w:eastAsia="仿宋_GB2312" w:hAnsi="Cambria Math"/>
                                  <w:sz w:val="28"/>
                                  <w:szCs w:val="28"/>
                                </w:rPr>
                                <m:t>,0</m:t>
                              </m:r>
                            </m:e>
                          </m:d>
                        </m:e>
                      </m:func>
                    </m:e>
                  </m:nary>
                  <m:r>
                    <w:rPr>
                      <w:rFonts w:ascii="微软雅黑" w:eastAsia="微软雅黑" w:hAnsi="微软雅黑" w:cs="微软雅黑"/>
                      <w:sz w:val="28"/>
                      <w:szCs w:val="28"/>
                    </w:rPr>
                    <m:t>-</m:t>
                  </m:r>
                  <m:func>
                    <m:funcPr>
                      <m:ctrlPr>
                        <w:rPr>
                          <w:rFonts w:ascii="Cambria Math" w:eastAsia="仿宋_GB2312" w:hAnsi="Cambria Math" w:hint="eastAsia"/>
                          <w:i/>
                          <w:sz w:val="28"/>
                          <w:szCs w:val="28"/>
                        </w:rPr>
                      </m:ctrlPr>
                    </m:funcPr>
                    <m:fName>
                      <m:r>
                        <w:rPr>
                          <w:rFonts w:ascii="Cambria Math" w:eastAsia="仿宋_GB2312" w:hAnsi="Cambria Math"/>
                          <w:sz w:val="28"/>
                          <w:szCs w:val="28"/>
                        </w:rPr>
                        <m:t>max</m:t>
                      </m:r>
                    </m:fName>
                    <m:e>
                      <m:d>
                        <m:dPr>
                          <m:begChr m:val="{"/>
                          <m:endChr m:val="}"/>
                          <m:ctrlPr>
                            <w:rPr>
                              <w:rFonts w:ascii="Cambria Math" w:eastAsia="仿宋_GB2312" w:hAnsi="Cambria Math" w:hint="eastAsia"/>
                              <w:i/>
                              <w:sz w:val="28"/>
                              <w:szCs w:val="28"/>
                            </w:rPr>
                          </m:ctrlPr>
                        </m:dPr>
                        <m:e>
                          <m:sSub>
                            <m:sSubPr>
                              <m:ctrlPr>
                                <w:rPr>
                                  <w:rFonts w:ascii="Cambria Math" w:eastAsia="仿宋_GB2312" w:hAnsi="Cambria Math" w:hint="eastAsia"/>
                                  <w:i/>
                                  <w:sz w:val="28"/>
                                  <w:szCs w:val="28"/>
                                </w:rPr>
                              </m:ctrlPr>
                            </m:sSubPr>
                            <m:e>
                              <m:r>
                                <w:rPr>
                                  <w:rFonts w:ascii="Cambria Math" w:eastAsia="仿宋_GB2312" w:hAnsi="Cambria Math"/>
                                  <w:sz w:val="28"/>
                                  <w:szCs w:val="28"/>
                                </w:rPr>
                                <m:t>C</m:t>
                              </m:r>
                            </m:e>
                            <m:sub>
                              <m:r>
                                <w:rPr>
                                  <w:rFonts w:ascii="Cambria Math" w:eastAsia="仿宋_GB2312" w:hAnsi="Cambria Math"/>
                                  <w:sz w:val="28"/>
                                  <w:szCs w:val="28"/>
                                </w:rPr>
                                <m:t>MA</m:t>
                              </m:r>
                            </m:sub>
                          </m:sSub>
                          <m:r>
                            <w:rPr>
                              <w:rFonts w:ascii="Cambria Math" w:eastAsia="仿宋_GB2312" w:hAnsi="Cambria Math"/>
                              <w:sz w:val="28"/>
                              <w:szCs w:val="28"/>
                            </w:rPr>
                            <m:t>,0</m:t>
                          </m:r>
                        </m:e>
                      </m:d>
                    </m:e>
                  </m:func>
                  <m:r>
                    <w:rPr>
                      <w:rFonts w:ascii="Cambria Math" w:eastAsia="仿宋_GB2312" w:hAnsi="Cambria Math"/>
                      <w:sz w:val="28"/>
                      <w:szCs w:val="28"/>
                    </w:rPr>
                    <m:t>,0</m:t>
                  </m:r>
                </m:e>
              </m:d>
            </m:e>
          </m:func>
          <m:r>
            <w:rPr>
              <w:rFonts w:ascii="Cambria Math" w:eastAsia="仿宋_GB2312" w:hAnsi="Cambria Math"/>
              <w:sz w:val="28"/>
              <w:szCs w:val="28"/>
            </w:rPr>
            <m:t>+</m:t>
          </m:r>
          <m:func>
            <m:funcPr>
              <m:ctrlPr>
                <w:rPr>
                  <w:rFonts w:ascii="Cambria Math" w:eastAsia="仿宋_GB2312" w:hAnsi="Cambria Math" w:hint="eastAsia"/>
                  <w:i/>
                  <w:sz w:val="28"/>
                  <w:szCs w:val="28"/>
                </w:rPr>
              </m:ctrlPr>
            </m:funcPr>
            <m:fName>
              <m:r>
                <w:rPr>
                  <w:rFonts w:ascii="Cambria Math" w:eastAsia="仿宋_GB2312" w:hAnsi="Cambria Math"/>
                  <w:sz w:val="28"/>
                  <w:szCs w:val="28"/>
                </w:rPr>
                <m:t>max</m:t>
              </m:r>
            </m:fName>
            <m:e>
              <m:d>
                <m:dPr>
                  <m:begChr m:val="{"/>
                  <m:endChr m:val="}"/>
                  <m:ctrlPr>
                    <w:rPr>
                      <w:rFonts w:ascii="Cambria Math" w:eastAsia="仿宋_GB2312" w:hAnsi="Cambria Math" w:hint="eastAsia"/>
                      <w:i/>
                      <w:sz w:val="28"/>
                      <w:szCs w:val="28"/>
                    </w:rPr>
                  </m:ctrlPr>
                </m:dPr>
                <m:e>
                  <m:nary>
                    <m:naryPr>
                      <m:chr m:val="∑"/>
                      <m:supHide m:val="1"/>
                      <m:ctrlPr>
                        <w:rPr>
                          <w:rFonts w:ascii="Cambria Math" w:eastAsia="仿宋_GB2312" w:hAnsi="Cambria Math" w:hint="eastAsia"/>
                          <w:i/>
                          <w:sz w:val="28"/>
                          <w:szCs w:val="28"/>
                        </w:rPr>
                      </m:ctrlPr>
                    </m:naryPr>
                    <m:sub>
                      <m:r>
                        <w:rPr>
                          <w:rFonts w:ascii="Cambria Math" w:eastAsia="仿宋_GB2312" w:hAnsi="Cambria Math"/>
                          <w:sz w:val="28"/>
                          <w:szCs w:val="28"/>
                        </w:rPr>
                        <m:t>NS</m:t>
                      </m:r>
                      <m:r>
                        <w:rPr>
                          <w:rFonts w:ascii="Cambria Math" w:eastAsia="仿宋_GB2312" w:hAnsi="Cambria Math"/>
                          <w:sz w:val="28"/>
                          <w:szCs w:val="28"/>
                        </w:rPr>
                        <m:t>∈</m:t>
                      </m:r>
                      <m:r>
                        <w:rPr>
                          <w:rFonts w:ascii="Cambria Math" w:eastAsia="仿宋_GB2312" w:hAnsi="Cambria Math"/>
                          <w:sz w:val="28"/>
                          <w:szCs w:val="28"/>
                        </w:rPr>
                        <m:t>MA</m:t>
                      </m:r>
                    </m:sub>
                    <m:sup/>
                    <m:e>
                      <m:func>
                        <m:funcPr>
                          <m:ctrlPr>
                            <w:rPr>
                              <w:rFonts w:ascii="Cambria Math" w:eastAsia="仿宋_GB2312" w:hAnsi="Cambria Math" w:hint="eastAsia"/>
                              <w:i/>
                              <w:sz w:val="28"/>
                              <w:szCs w:val="28"/>
                            </w:rPr>
                          </m:ctrlPr>
                        </m:funcPr>
                        <m:fName>
                          <m:r>
                            <w:rPr>
                              <w:rFonts w:ascii="Cambria Math" w:eastAsia="仿宋_GB2312" w:hAnsi="Cambria Math"/>
                              <w:sz w:val="28"/>
                              <w:szCs w:val="28"/>
                            </w:rPr>
                            <m:t>min</m:t>
                          </m:r>
                        </m:fName>
                        <m:e>
                          <m:d>
                            <m:dPr>
                              <m:begChr m:val="{"/>
                              <m:endChr m:val="}"/>
                              <m:ctrlPr>
                                <w:rPr>
                                  <w:rFonts w:ascii="Cambria Math" w:eastAsia="仿宋_GB2312" w:hAnsi="Cambria Math" w:hint="eastAsia"/>
                                  <w:i/>
                                  <w:sz w:val="28"/>
                                  <w:szCs w:val="28"/>
                                </w:rPr>
                              </m:ctrlPr>
                            </m:dPr>
                            <m:e>
                              <m:sSub>
                                <m:sSubPr>
                                  <m:ctrlPr>
                                    <w:rPr>
                                      <w:rFonts w:ascii="Cambria Math" w:eastAsia="仿宋_GB2312" w:hAnsi="Cambria Math" w:hint="eastAsia"/>
                                      <w:i/>
                                      <w:sz w:val="28"/>
                                      <w:szCs w:val="28"/>
                                    </w:rPr>
                                  </m:ctrlPr>
                                </m:sSubPr>
                                <m:e>
                                  <m:r>
                                    <w:rPr>
                                      <w:rFonts w:ascii="Cambria Math" w:eastAsia="仿宋_GB2312" w:hAnsi="Cambria Math"/>
                                      <w:sz w:val="28"/>
                                      <w:szCs w:val="28"/>
                                    </w:rPr>
                                    <m:t>V</m:t>
                                  </m:r>
                                </m:e>
                                <m:sub>
                                  <m:r>
                                    <w:rPr>
                                      <w:rFonts w:ascii="Cambria Math" w:eastAsia="仿宋_GB2312" w:hAnsi="Cambria Math"/>
                                      <w:sz w:val="28"/>
                                      <w:szCs w:val="28"/>
                                    </w:rPr>
                                    <m:t>NS</m:t>
                                  </m:r>
                                </m:sub>
                              </m:sSub>
                              <m:r>
                                <w:rPr>
                                  <w:rFonts w:ascii="Cambria Math" w:eastAsia="仿宋_GB2312" w:hAnsi="Cambria Math"/>
                                  <w:sz w:val="28"/>
                                  <w:szCs w:val="28"/>
                                </w:rPr>
                                <m:t>,0</m:t>
                              </m:r>
                            </m:e>
                          </m:d>
                        </m:e>
                      </m:func>
                    </m:e>
                  </m:nary>
                  <m:r>
                    <w:rPr>
                      <w:rFonts w:ascii="微软雅黑" w:eastAsia="微软雅黑" w:hAnsi="微软雅黑" w:cs="微软雅黑"/>
                      <w:sz w:val="28"/>
                      <w:szCs w:val="28"/>
                    </w:rPr>
                    <m:t>-</m:t>
                  </m:r>
                  <m:func>
                    <m:funcPr>
                      <m:ctrlPr>
                        <w:rPr>
                          <w:rFonts w:ascii="Cambria Math" w:eastAsia="仿宋_GB2312" w:hAnsi="Cambria Math" w:hint="eastAsia"/>
                          <w:i/>
                          <w:sz w:val="28"/>
                          <w:szCs w:val="28"/>
                        </w:rPr>
                      </m:ctrlPr>
                    </m:funcPr>
                    <m:fName>
                      <m:r>
                        <w:rPr>
                          <w:rFonts w:ascii="Cambria Math" w:eastAsia="仿宋_GB2312" w:hAnsi="Cambria Math"/>
                          <w:sz w:val="28"/>
                          <w:szCs w:val="28"/>
                        </w:rPr>
                        <m:t>min</m:t>
                      </m:r>
                    </m:fName>
                    <m:e>
                      <m:d>
                        <m:dPr>
                          <m:begChr m:val="{"/>
                          <m:endChr m:val="}"/>
                          <m:ctrlPr>
                            <w:rPr>
                              <w:rFonts w:ascii="Cambria Math" w:eastAsia="仿宋_GB2312" w:hAnsi="Cambria Math" w:hint="eastAsia"/>
                              <w:i/>
                              <w:sz w:val="28"/>
                              <w:szCs w:val="28"/>
                            </w:rPr>
                          </m:ctrlPr>
                        </m:dPr>
                        <m:e>
                          <m:sSub>
                            <m:sSubPr>
                              <m:ctrlPr>
                                <w:rPr>
                                  <w:rFonts w:ascii="Cambria Math" w:eastAsia="仿宋_GB2312" w:hAnsi="Cambria Math" w:hint="eastAsia"/>
                                  <w:i/>
                                  <w:sz w:val="28"/>
                                  <w:szCs w:val="28"/>
                                </w:rPr>
                              </m:ctrlPr>
                            </m:sSubPr>
                            <m:e>
                              <m:r>
                                <w:rPr>
                                  <w:rFonts w:ascii="Cambria Math" w:eastAsia="仿宋_GB2312" w:hAnsi="Cambria Math"/>
                                  <w:sz w:val="28"/>
                                  <w:szCs w:val="28"/>
                                </w:rPr>
                                <m:t>C</m:t>
                              </m:r>
                            </m:e>
                            <m:sub>
                              <m:r>
                                <w:rPr>
                                  <w:rFonts w:ascii="Cambria Math" w:eastAsia="仿宋_GB2312" w:hAnsi="Cambria Math"/>
                                  <w:sz w:val="28"/>
                                  <w:szCs w:val="28"/>
                                </w:rPr>
                                <m:t>MA</m:t>
                              </m:r>
                            </m:sub>
                          </m:sSub>
                          <m:r>
                            <w:rPr>
                              <w:rFonts w:ascii="Cambria Math" w:eastAsia="仿宋_GB2312" w:hAnsi="Cambria Math"/>
                              <w:sz w:val="28"/>
                              <w:szCs w:val="28"/>
                            </w:rPr>
                            <m:t>,0</m:t>
                          </m:r>
                        </m:e>
                      </m:d>
                    </m:e>
                  </m:func>
                  <m:r>
                    <w:rPr>
                      <w:rFonts w:ascii="Cambria Math" w:eastAsia="仿宋_GB2312" w:hAnsi="Cambria Math"/>
                      <w:sz w:val="28"/>
                      <w:szCs w:val="28"/>
                    </w:rPr>
                    <m:t>,0</m:t>
                  </m:r>
                </m:e>
              </m:d>
            </m:e>
          </m:func>
        </m:oMath>
      </m:oMathPara>
    </w:p>
    <w:p w14:paraId="6C25F560" w14:textId="77777777" w:rsidR="0056070C" w:rsidRDefault="00BB5E36">
      <w:pPr>
        <w:ind w:firstLineChars="200" w:firstLine="600"/>
        <w:jc w:val="left"/>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其中：</w:t>
      </w:r>
    </w:p>
    <w:p w14:paraId="07435698"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a.</w:t>
      </w:r>
      <w:r>
        <w:rPr>
          <w:rFonts w:ascii="仿宋_GB2312" w:eastAsia="仿宋_GB2312" w:hint="eastAsia"/>
          <w:noProof/>
          <w:position w:val="-6"/>
          <w:sz w:val="30"/>
          <w:szCs w:val="30"/>
        </w:rPr>
        <w:object w:dxaOrig="1053" w:dyaOrig="253" w14:anchorId="6EF00E6F">
          <v:shape id="_x0000_i1038" type="#_x0000_t75" alt="" style="width:52.6pt;height:12.45pt;mso-width-percent:0;mso-height-percent:0;mso-width-percent:0;mso-height-percent:0" o:ole="">
            <v:imagedata r:id="rId41" o:title=""/>
          </v:shape>
          <o:OLEObject Type="Embed" ProgID="Equation.DSMT4" ShapeID="_x0000_i1038" DrawAspect="Content" ObjectID="_1761140346" r:id="rId42"/>
        </w:object>
      </w:r>
      <w:r>
        <w:rPr>
          <w:rFonts w:ascii="仿宋_GB2312" w:eastAsia="仿宋_GB2312" w:hAnsi="Times New Roman" w:cs="Times New Roman" w:hint="eastAsia"/>
          <w:bCs/>
          <w:sz w:val="30"/>
          <w:szCs w:val="30"/>
        </w:rPr>
        <w:t>指该保证金协议下的所有净额结算组合。</w:t>
      </w:r>
    </w:p>
    <w:p w14:paraId="3D5DBC4B"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sz w:val="30"/>
          <w:szCs w:val="30"/>
        </w:rPr>
        <w:t>b.</w:t>
      </w:r>
      <w:r>
        <w:rPr>
          <w:rFonts w:ascii="仿宋_GB2312" w:eastAsia="仿宋_GB2312" w:hint="eastAsia"/>
          <w:noProof/>
          <w:position w:val="-12"/>
          <w:sz w:val="30"/>
          <w:szCs w:val="30"/>
        </w:rPr>
        <w:object w:dxaOrig="400" w:dyaOrig="373" w14:anchorId="1E88E9D5">
          <v:shape id="_x0000_i1037" type="#_x0000_t75" alt="" style="width:20.1pt;height:18.7pt;mso-width-percent:0;mso-height-percent:0;mso-width-percent:0;mso-height-percent:0" o:ole="">
            <v:imagedata r:id="rId43" o:title=""/>
          </v:shape>
          <o:OLEObject Type="Embed" ProgID="Equation.DSMT4" ShapeID="_x0000_i1037" DrawAspect="Content" ObjectID="_1761140347" r:id="rId44"/>
        </w:object>
      </w:r>
      <w:r>
        <w:rPr>
          <w:rFonts w:ascii="仿宋_GB2312" w:eastAsia="仿宋_GB2312" w:hAnsi="Times New Roman" w:cs="Times New Roman" w:hint="eastAsia"/>
          <w:bCs/>
          <w:sz w:val="30"/>
          <w:szCs w:val="30"/>
        </w:rPr>
        <w:t>为单个净额结算组合下衍生工具的盯市价值。</w:t>
      </w:r>
    </w:p>
    <w:p w14:paraId="500D5021"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sz w:val="30"/>
          <w:szCs w:val="30"/>
        </w:rPr>
        <w:t>c.</w:t>
      </w:r>
      <w:r>
        <w:rPr>
          <w:rFonts w:ascii="仿宋_GB2312" w:eastAsia="仿宋_GB2312" w:hint="eastAsia"/>
          <w:noProof/>
          <w:position w:val="-12"/>
          <w:sz w:val="30"/>
          <w:szCs w:val="30"/>
        </w:rPr>
        <w:object w:dxaOrig="453" w:dyaOrig="373" w14:anchorId="030F640C">
          <v:shape id="_x0000_i1036" type="#_x0000_t75" alt="" style="width:22.85pt;height:18.7pt;mso-width-percent:0;mso-height-percent:0;mso-width-percent:0;mso-height-percent:0" o:ole="">
            <v:imagedata r:id="rId45" o:title=""/>
          </v:shape>
          <o:OLEObject Type="Embed" ProgID="Equation.DSMT4" ShapeID="_x0000_i1036" DrawAspect="Content" ObjectID="_1761140348" r:id="rId46"/>
        </w:object>
      </w:r>
      <w:r>
        <w:rPr>
          <w:rFonts w:ascii="仿宋_GB2312" w:eastAsia="仿宋_GB2312" w:hAnsi="Times New Roman" w:cs="Times New Roman" w:hint="eastAsia"/>
          <w:bCs/>
          <w:sz w:val="30"/>
          <w:szCs w:val="30"/>
        </w:rPr>
        <w:t>为该保证金协议下银行持有的所有抵质押品净额（收到的抵质押品扣除提交的抵质押品）经折扣调整后的价值，不包括银行向独立的破产隔离账户提交的抵质押品。</w:t>
      </w:r>
    </w:p>
    <w:p w14:paraId="29C7D563"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潜在风险暴露计算公式如下：</w:t>
      </w:r>
    </w:p>
    <w:p w14:paraId="7251F0CF" w14:textId="77777777" w:rsidR="0056070C" w:rsidRDefault="00BB5E36">
      <w:pPr>
        <w:spacing w:afterLines="50" w:after="156"/>
        <w:jc w:val="center"/>
        <w:rPr>
          <w:rFonts w:ascii="仿宋_GB2312" w:eastAsia="仿宋_GB2312" w:hAnsi="Calibri" w:cs="Times New Roman"/>
          <w:position w:val="-28"/>
          <w:sz w:val="30"/>
          <w:szCs w:val="30"/>
        </w:rPr>
      </w:pPr>
      <w:r>
        <w:rPr>
          <w:rFonts w:ascii="仿宋_GB2312" w:eastAsia="仿宋_GB2312" w:hAnsi="Calibri" w:cs="Times New Roman" w:hint="eastAsia"/>
          <w:noProof/>
          <w:position w:val="-28"/>
          <w:sz w:val="30"/>
          <w:szCs w:val="30"/>
        </w:rPr>
        <w:object w:dxaOrig="2960" w:dyaOrig="547" w14:anchorId="7614EBD6">
          <v:shape id="_x0000_i1035" type="#_x0000_t75" alt="" style="width:148.15pt;height:27.7pt;mso-width-percent:0;mso-height-percent:0;mso-width-percent:0;mso-height-percent:0" o:ole="">
            <v:imagedata r:id="rId47" o:title=""/>
          </v:shape>
          <o:OLEObject Type="Embed" ProgID="Equation.DSMT4" ShapeID="_x0000_i1035" DrawAspect="Content" ObjectID="_1761140349" r:id="rId48"/>
        </w:object>
      </w:r>
    </w:p>
    <w:p w14:paraId="4C9017BB"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其中：</w:t>
      </w:r>
    </w:p>
    <w:p w14:paraId="4EEB3561"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a</w:t>
      </w:r>
      <w:r>
        <w:rPr>
          <w:rFonts w:ascii="仿宋_GB2312" w:eastAsia="仿宋_GB2312" w:hAnsi="Times New Roman" w:cs="Times New Roman"/>
          <w:bCs/>
          <w:sz w:val="30"/>
          <w:szCs w:val="30"/>
        </w:rPr>
        <w:t>.</w:t>
      </w:r>
      <w:r>
        <w:rPr>
          <w:rFonts w:ascii="仿宋_GB2312" w:eastAsia="仿宋_GB2312" w:hAnsi="Times New Roman" w:cs="Times New Roman" w:hint="eastAsia"/>
          <w:bCs/>
          <w:sz w:val="30"/>
          <w:szCs w:val="30"/>
        </w:rPr>
        <w:t>单个净额结算组合均应视为无保证金交易计算潜在风险</w:t>
      </w:r>
      <w:r>
        <w:rPr>
          <w:rFonts w:ascii="仿宋_GB2312" w:eastAsia="仿宋_GB2312" w:hAnsi="Times New Roman" w:cs="Times New Roman" w:hint="eastAsia"/>
          <w:bCs/>
          <w:sz w:val="30"/>
          <w:szCs w:val="30"/>
        </w:rPr>
        <w:lastRenderedPageBreak/>
        <w:t>暴露。</w:t>
      </w:r>
    </w:p>
    <w:p w14:paraId="306B98EA"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b</w:t>
      </w:r>
      <w:r>
        <w:rPr>
          <w:rFonts w:ascii="仿宋_GB2312" w:eastAsia="仿宋_GB2312" w:hAnsi="Times New Roman" w:cs="Times New Roman"/>
          <w:bCs/>
          <w:sz w:val="30"/>
          <w:szCs w:val="30"/>
        </w:rPr>
        <w:t>.</w:t>
      </w:r>
      <w:r>
        <w:rPr>
          <w:rFonts w:ascii="仿宋_GB2312" w:eastAsia="仿宋_GB2312" w:hAnsi="Times New Roman" w:cs="Times New Roman" w:hint="eastAsia"/>
          <w:bCs/>
          <w:sz w:val="30"/>
          <w:szCs w:val="30"/>
        </w:rPr>
        <w:t>在计算乘数因子时，应考虑变动保证金在不同净额结算组合之间的分配。当银行是保证金的净收取方，应将保证金优先分配给盯市价值大于零的净额结算组合，分配数额不应高于单个净额结算组合的盯市价值，且不应为负数；当银行是保证金的净支付方，应将保证金优先分配给盯市价值小于零的净额结算组合，分配金额不应低于单个净额结算组合的盯市价值，且不应为正数。除以上要求之外，银行有权自行决定保证金的分配。</w:t>
      </w:r>
    </w:p>
    <w:p w14:paraId="2AD61835"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（七）违约风险暴露现期风险暴露法</w:t>
      </w:r>
    </w:p>
    <w:p w14:paraId="726B82DE"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违约风险暴露计算规则如下：</w:t>
      </w:r>
    </w:p>
    <w:p w14:paraId="218861C8" w14:textId="77777777" w:rsidR="0056070C" w:rsidRDefault="00BB5E36">
      <w:pPr>
        <w:spacing w:afterLines="50" w:after="156" w:line="480" w:lineRule="exact"/>
        <w:ind w:firstLineChars="200" w:firstLine="600"/>
        <w:jc w:val="center"/>
        <w:rPr>
          <w:rFonts w:ascii="仿宋_GB2312" w:eastAsia="仿宋_GB2312" w:hAnsi="Calibri" w:cs="Times New Roman"/>
          <w:position w:val="-6"/>
          <w:sz w:val="30"/>
          <w:szCs w:val="30"/>
        </w:rPr>
      </w:pPr>
      <w:r>
        <w:rPr>
          <w:rFonts w:ascii="仿宋_GB2312" w:eastAsia="仿宋_GB2312" w:hAnsi="Calibri" w:cs="Times New Roman" w:hint="eastAsia"/>
          <w:noProof/>
          <w:position w:val="-6"/>
          <w:sz w:val="30"/>
          <w:szCs w:val="30"/>
        </w:rPr>
        <w:object w:dxaOrig="2493" w:dyaOrig="320" w14:anchorId="26AE5B61">
          <v:shape id="_x0000_i1034" type="#_x0000_t75" alt="" style="width:124.6pt;height:15.9pt;mso-width-percent:0;mso-height-percent:0;mso-width-percent:0;mso-height-percent:0" o:ole="">
            <v:imagedata r:id="rId49" o:title=""/>
          </v:shape>
          <o:OLEObject Type="Embed" ProgID="Equation.DSMT4" ShapeID="_x0000_i1034" DrawAspect="Content" ObjectID="_1761140350" r:id="rId50"/>
        </w:object>
      </w:r>
    </w:p>
    <w:p w14:paraId="081BF520"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其中：</w:t>
      </w:r>
    </w:p>
    <w:p w14:paraId="33977A55"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MTM</w:t>
      </w:r>
      <w:r>
        <w:rPr>
          <w:rFonts w:ascii="仿宋_GB2312" w:eastAsia="仿宋_GB2312" w:hAnsi="Times New Roman" w:cs="Times New Roman" w:hint="eastAsia"/>
          <w:bCs/>
          <w:sz w:val="30"/>
          <w:szCs w:val="30"/>
        </w:rPr>
        <w:t>为按盯市价值计算的重置成本与</w:t>
      </w:r>
      <w:r>
        <w:rPr>
          <w:rFonts w:ascii="仿宋_GB2312" w:eastAsia="仿宋_GB2312" w:hAnsi="Times New Roman" w:cs="Times New Roman" w:hint="eastAsia"/>
          <w:bCs/>
          <w:sz w:val="30"/>
          <w:szCs w:val="30"/>
        </w:rPr>
        <w:t>0</w:t>
      </w:r>
      <w:r>
        <w:rPr>
          <w:rFonts w:ascii="仿宋_GB2312" w:eastAsia="仿宋_GB2312" w:hAnsi="Times New Roman" w:cs="Times New Roman" w:hint="eastAsia"/>
          <w:bCs/>
          <w:sz w:val="30"/>
          <w:szCs w:val="30"/>
        </w:rPr>
        <w:t>之间的较大者。</w:t>
      </w:r>
    </w:p>
    <w:p w14:paraId="553CE113"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Add-on</w:t>
      </w:r>
      <w:r>
        <w:rPr>
          <w:rFonts w:ascii="仿宋_GB2312" w:eastAsia="仿宋_GB2312" w:hAnsi="Times New Roman" w:cs="Times New Roman" w:hint="eastAsia"/>
          <w:bCs/>
          <w:sz w:val="30"/>
          <w:szCs w:val="30"/>
        </w:rPr>
        <w:t>为反映剩余期限内潜在风险暴露的附加因子。</w:t>
      </w:r>
    </w:p>
    <w:p w14:paraId="1B9379B6"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）潜在风险暴露的附加因子（</w:t>
      </w:r>
      <w:r>
        <w:rPr>
          <w:rFonts w:ascii="仿宋_GB2312" w:eastAsia="仿宋_GB2312" w:hAnsi="Times New Roman" w:cs="Times New Roman" w:hint="eastAsia"/>
          <w:bCs/>
          <w:sz w:val="30"/>
          <w:szCs w:val="30"/>
        </w:rPr>
        <w:t>Add-on</w:t>
      </w:r>
      <w:r>
        <w:rPr>
          <w:rFonts w:ascii="仿宋_GB2312" w:eastAsia="仿宋_GB2312" w:hAnsi="Times New Roman" w:cs="Times New Roman" w:hint="eastAsia"/>
          <w:bCs/>
          <w:sz w:val="30"/>
          <w:szCs w:val="30"/>
        </w:rPr>
        <w:t>）等于衍生工具的名义本金乘以相应的附加系数。</w:t>
      </w:r>
    </w:p>
    <w:p w14:paraId="03B0EC80"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信用衍生工具的附加系数见表</w:t>
      </w: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w:t>
      </w:r>
    </w:p>
    <w:p w14:paraId="356D9283" w14:textId="77777777" w:rsidR="0056070C" w:rsidRDefault="00BB5E36">
      <w:pPr>
        <w:widowControl/>
        <w:spacing w:line="480" w:lineRule="exact"/>
        <w:ind w:firstLineChars="200" w:firstLine="562"/>
        <w:jc w:val="center"/>
        <w:rPr>
          <w:rFonts w:ascii="Times New Roman" w:eastAsia="楷体_GB2312" w:hAnsi="Times New Roman" w:cs="Times New Roman"/>
          <w:b/>
          <w:sz w:val="28"/>
          <w:szCs w:val="28"/>
        </w:rPr>
      </w:pPr>
      <w:r>
        <w:rPr>
          <w:rFonts w:ascii="Times New Roman" w:eastAsia="楷体_GB2312" w:hAnsi="Times New Roman" w:cs="Times New Roman"/>
          <w:b/>
          <w:sz w:val="28"/>
          <w:szCs w:val="28"/>
        </w:rPr>
        <w:t>表</w:t>
      </w:r>
      <w:r>
        <w:rPr>
          <w:rFonts w:ascii="仿宋_GB2312" w:eastAsia="仿宋_GB2312" w:hAnsi="Times New Roman" w:cs="Times New Roman" w:hint="eastAsia"/>
          <w:b/>
          <w:sz w:val="28"/>
          <w:szCs w:val="28"/>
        </w:rPr>
        <w:t xml:space="preserve">4 </w:t>
      </w:r>
      <w:r>
        <w:rPr>
          <w:rFonts w:ascii="Times New Roman" w:eastAsia="楷体_GB2312" w:hAnsi="Times New Roman" w:cs="Times New Roman"/>
          <w:b/>
          <w:sz w:val="28"/>
          <w:szCs w:val="28"/>
        </w:rPr>
        <w:t>信用衍生工具的附加系数</w:t>
      </w:r>
    </w:p>
    <w:tbl>
      <w:tblPr>
        <w:tblStyle w:val="af1"/>
        <w:tblW w:w="8228" w:type="dxa"/>
        <w:jc w:val="center"/>
        <w:tblLayout w:type="fixed"/>
        <w:tblLook w:val="04A0" w:firstRow="1" w:lastRow="0" w:firstColumn="1" w:lastColumn="0" w:noHBand="0" w:noVBand="1"/>
      </w:tblPr>
      <w:tblGrid>
        <w:gridCol w:w="2812"/>
        <w:gridCol w:w="1985"/>
        <w:gridCol w:w="1730"/>
        <w:gridCol w:w="1701"/>
      </w:tblGrid>
      <w:tr w:rsidR="0056070C" w14:paraId="68A8D0EA" w14:textId="77777777">
        <w:trPr>
          <w:trHeight w:val="610"/>
          <w:tblHeader/>
          <w:jc w:val="center"/>
        </w:trPr>
        <w:tc>
          <w:tcPr>
            <w:tcW w:w="2812" w:type="dxa"/>
            <w:vAlign w:val="center"/>
          </w:tcPr>
          <w:p w14:paraId="479A8547" w14:textId="77777777" w:rsidR="0056070C" w:rsidRDefault="00BB5E36">
            <w:pPr>
              <w:widowControl/>
              <w:jc w:val="center"/>
              <w:rPr>
                <w:rFonts w:ascii="宋体" w:eastAsia="宋体" w:hAnsi="宋体" w:cs="Times New Roman"/>
                <w:b/>
                <w:bCs/>
                <w:kern w:val="0"/>
                <w:sz w:val="24"/>
                <w:szCs w:val="24"/>
              </w:rPr>
            </w:pPr>
            <w:r>
              <w:rPr>
                <w:rFonts w:ascii="宋体" w:eastAsia="宋体" w:hAnsi="宋体" w:cs="Times New Roman"/>
                <w:b/>
                <w:bCs/>
                <w:kern w:val="0"/>
                <w:sz w:val="24"/>
                <w:szCs w:val="24"/>
              </w:rPr>
              <w:t>类型</w:t>
            </w:r>
          </w:p>
        </w:tc>
        <w:tc>
          <w:tcPr>
            <w:tcW w:w="1985" w:type="dxa"/>
            <w:vAlign w:val="center"/>
          </w:tcPr>
          <w:p w14:paraId="0DF7DEE5" w14:textId="77777777" w:rsidR="0056070C" w:rsidRDefault="00BB5E36">
            <w:pPr>
              <w:widowControl/>
              <w:jc w:val="center"/>
              <w:rPr>
                <w:rFonts w:ascii="宋体" w:eastAsia="宋体" w:hAnsi="宋体" w:cs="Times New Roman"/>
                <w:b/>
                <w:bCs/>
                <w:kern w:val="0"/>
                <w:sz w:val="24"/>
                <w:szCs w:val="24"/>
              </w:rPr>
            </w:pPr>
            <w:r>
              <w:rPr>
                <w:rFonts w:ascii="宋体" w:eastAsia="宋体" w:hAnsi="宋体" w:cs="Times New Roman"/>
                <w:b/>
                <w:bCs/>
                <w:kern w:val="0"/>
                <w:sz w:val="24"/>
                <w:szCs w:val="24"/>
              </w:rPr>
              <w:t>参照资产</w:t>
            </w:r>
          </w:p>
        </w:tc>
        <w:tc>
          <w:tcPr>
            <w:tcW w:w="1730" w:type="dxa"/>
            <w:vAlign w:val="center"/>
          </w:tcPr>
          <w:p w14:paraId="792EB275" w14:textId="77777777" w:rsidR="0056070C" w:rsidRDefault="00BB5E36">
            <w:pPr>
              <w:widowControl/>
              <w:jc w:val="center"/>
              <w:rPr>
                <w:rFonts w:ascii="宋体" w:eastAsia="宋体" w:hAnsi="宋体" w:cs="Times New Roman"/>
                <w:b/>
                <w:bCs/>
                <w:kern w:val="0"/>
                <w:sz w:val="24"/>
                <w:szCs w:val="24"/>
              </w:rPr>
            </w:pPr>
            <w:r>
              <w:rPr>
                <w:rFonts w:ascii="宋体" w:eastAsia="宋体" w:hAnsi="宋体" w:cs="Times New Roman"/>
                <w:b/>
                <w:bCs/>
                <w:kern w:val="0"/>
                <w:sz w:val="24"/>
                <w:szCs w:val="24"/>
              </w:rPr>
              <w:t>信用保护买方（％）</w:t>
            </w:r>
          </w:p>
        </w:tc>
        <w:tc>
          <w:tcPr>
            <w:tcW w:w="1701" w:type="dxa"/>
            <w:vAlign w:val="center"/>
          </w:tcPr>
          <w:p w14:paraId="0F812659" w14:textId="77777777" w:rsidR="0056070C" w:rsidRDefault="00BB5E36">
            <w:pPr>
              <w:widowControl/>
              <w:jc w:val="center"/>
              <w:rPr>
                <w:rFonts w:ascii="宋体" w:eastAsia="宋体" w:hAnsi="宋体" w:cs="Times New Roman"/>
                <w:b/>
                <w:bCs/>
                <w:kern w:val="0"/>
                <w:sz w:val="24"/>
                <w:szCs w:val="24"/>
              </w:rPr>
            </w:pPr>
            <w:r>
              <w:rPr>
                <w:rFonts w:ascii="宋体" w:eastAsia="宋体" w:hAnsi="宋体" w:cs="Times New Roman"/>
                <w:b/>
                <w:bCs/>
                <w:kern w:val="0"/>
                <w:sz w:val="24"/>
                <w:szCs w:val="24"/>
              </w:rPr>
              <w:t>信用保护卖方（％）</w:t>
            </w:r>
          </w:p>
        </w:tc>
      </w:tr>
      <w:tr w:rsidR="0056070C" w14:paraId="7919B83F" w14:textId="77777777">
        <w:trPr>
          <w:trHeight w:val="616"/>
          <w:jc w:val="center"/>
        </w:trPr>
        <w:tc>
          <w:tcPr>
            <w:tcW w:w="2812" w:type="dxa"/>
            <w:vMerge w:val="restart"/>
            <w:vAlign w:val="center"/>
          </w:tcPr>
          <w:p w14:paraId="2F637DC5" w14:textId="77777777" w:rsidR="0056070C" w:rsidRDefault="00BB5E36">
            <w:pPr>
              <w:widowControl/>
              <w:jc w:val="left"/>
              <w:rPr>
                <w:rFonts w:ascii="宋体" w:eastAsia="宋体" w:hAnsi="宋体" w:cs="Times New Roman"/>
                <w:kern w:val="0"/>
                <w:sz w:val="24"/>
                <w:szCs w:val="24"/>
              </w:rPr>
            </w:pPr>
            <w:r>
              <w:rPr>
                <w:rFonts w:ascii="宋体" w:eastAsia="宋体" w:hAnsi="宋体" w:cs="Times New Roman" w:hint="eastAsia"/>
                <w:kern w:val="0"/>
                <w:sz w:val="24"/>
                <w:szCs w:val="24"/>
              </w:rPr>
              <w:t>具有</w:t>
            </w:r>
            <w:r>
              <w:rPr>
                <w:rFonts w:ascii="宋体" w:eastAsia="宋体" w:hAnsi="宋体" w:cs="Times New Roman"/>
                <w:kern w:val="0"/>
                <w:sz w:val="24"/>
                <w:szCs w:val="24"/>
              </w:rPr>
              <w:t>总收益互换</w:t>
            </w:r>
            <w:r>
              <w:rPr>
                <w:rFonts w:ascii="宋体" w:eastAsia="宋体" w:hAnsi="宋体" w:cs="Times New Roman" w:hint="eastAsia"/>
                <w:kern w:val="0"/>
                <w:sz w:val="24"/>
                <w:szCs w:val="24"/>
              </w:rPr>
              <w:t>功能的信用衍生工具</w:t>
            </w:r>
          </w:p>
        </w:tc>
        <w:tc>
          <w:tcPr>
            <w:tcW w:w="1985" w:type="dxa"/>
            <w:vAlign w:val="center"/>
          </w:tcPr>
          <w:p w14:paraId="16DCC377" w14:textId="77777777" w:rsidR="0056070C" w:rsidRDefault="00BB5E36">
            <w:pPr>
              <w:widowControl/>
              <w:jc w:val="center"/>
              <w:rPr>
                <w:rFonts w:ascii="宋体" w:eastAsia="宋体" w:hAnsi="宋体" w:cs="Times New Roman"/>
                <w:kern w:val="0"/>
                <w:sz w:val="24"/>
                <w:szCs w:val="24"/>
              </w:rPr>
            </w:pPr>
            <w:r>
              <w:rPr>
                <w:rFonts w:ascii="宋体" w:eastAsia="宋体" w:hAnsi="宋体" w:cs="Times New Roman"/>
                <w:kern w:val="0"/>
                <w:sz w:val="24"/>
                <w:szCs w:val="24"/>
              </w:rPr>
              <w:t>合格参照资产</w:t>
            </w:r>
          </w:p>
        </w:tc>
        <w:tc>
          <w:tcPr>
            <w:tcW w:w="1730" w:type="dxa"/>
            <w:vAlign w:val="center"/>
          </w:tcPr>
          <w:p w14:paraId="2E4357FD" w14:textId="77777777" w:rsidR="0056070C" w:rsidRDefault="00BB5E36">
            <w:pPr>
              <w:widowControl/>
              <w:jc w:val="center"/>
              <w:rPr>
                <w:rFonts w:ascii="宋体" w:eastAsia="宋体" w:hAnsi="宋体" w:cs="Times New Roman"/>
                <w:kern w:val="0"/>
                <w:sz w:val="24"/>
                <w:szCs w:val="24"/>
              </w:rPr>
            </w:pPr>
            <w:r>
              <w:rPr>
                <w:rFonts w:ascii="宋体" w:eastAsia="宋体" w:hAnsi="宋体" w:cs="Times New Roman"/>
                <w:kern w:val="0"/>
                <w:sz w:val="24"/>
                <w:szCs w:val="24"/>
              </w:rPr>
              <w:t>5</w:t>
            </w:r>
          </w:p>
        </w:tc>
        <w:tc>
          <w:tcPr>
            <w:tcW w:w="1701" w:type="dxa"/>
            <w:vAlign w:val="center"/>
          </w:tcPr>
          <w:p w14:paraId="689361BF" w14:textId="77777777" w:rsidR="0056070C" w:rsidRDefault="00BB5E36">
            <w:pPr>
              <w:widowControl/>
              <w:jc w:val="center"/>
              <w:rPr>
                <w:rFonts w:ascii="宋体" w:eastAsia="宋体" w:hAnsi="宋体" w:cs="Times New Roman"/>
                <w:kern w:val="0"/>
                <w:sz w:val="24"/>
                <w:szCs w:val="24"/>
              </w:rPr>
            </w:pPr>
            <w:r>
              <w:rPr>
                <w:rFonts w:ascii="宋体" w:eastAsia="宋体" w:hAnsi="宋体" w:cs="Times New Roman"/>
                <w:kern w:val="0"/>
                <w:sz w:val="24"/>
                <w:szCs w:val="24"/>
              </w:rPr>
              <w:t>5</w:t>
            </w:r>
          </w:p>
        </w:tc>
      </w:tr>
      <w:tr w:rsidR="0056070C" w14:paraId="177D9F61" w14:textId="77777777">
        <w:trPr>
          <w:trHeight w:val="617"/>
          <w:jc w:val="center"/>
        </w:trPr>
        <w:tc>
          <w:tcPr>
            <w:tcW w:w="2812" w:type="dxa"/>
            <w:vMerge/>
            <w:vAlign w:val="center"/>
          </w:tcPr>
          <w:p w14:paraId="6ABE3D40" w14:textId="77777777" w:rsidR="0056070C" w:rsidRDefault="0056070C">
            <w:pPr>
              <w:widowControl/>
              <w:ind w:firstLineChars="200" w:firstLine="480"/>
              <w:jc w:val="left"/>
              <w:rPr>
                <w:rFonts w:ascii="宋体" w:eastAsia="宋体" w:hAnsi="宋体" w:cs="Times New Roman"/>
                <w:kern w:val="0"/>
                <w:sz w:val="24"/>
                <w:szCs w:val="24"/>
              </w:rPr>
            </w:pPr>
          </w:p>
        </w:tc>
        <w:tc>
          <w:tcPr>
            <w:tcW w:w="1985" w:type="dxa"/>
            <w:vAlign w:val="center"/>
          </w:tcPr>
          <w:p w14:paraId="1F409D8A" w14:textId="77777777" w:rsidR="0056070C" w:rsidRDefault="00BB5E36">
            <w:pPr>
              <w:widowControl/>
              <w:jc w:val="center"/>
              <w:rPr>
                <w:rFonts w:ascii="宋体" w:eastAsia="宋体" w:hAnsi="宋体" w:cs="Times New Roman"/>
                <w:kern w:val="0"/>
                <w:sz w:val="24"/>
                <w:szCs w:val="24"/>
              </w:rPr>
            </w:pPr>
            <w:r>
              <w:rPr>
                <w:rFonts w:ascii="宋体" w:eastAsia="宋体" w:hAnsi="宋体" w:cs="Times New Roman"/>
                <w:kern w:val="0"/>
                <w:sz w:val="24"/>
                <w:szCs w:val="24"/>
              </w:rPr>
              <w:t>不合格参照资产</w:t>
            </w:r>
          </w:p>
        </w:tc>
        <w:tc>
          <w:tcPr>
            <w:tcW w:w="1730" w:type="dxa"/>
            <w:vAlign w:val="center"/>
          </w:tcPr>
          <w:p w14:paraId="0CE87015" w14:textId="77777777" w:rsidR="0056070C" w:rsidRDefault="00BB5E36">
            <w:pPr>
              <w:widowControl/>
              <w:jc w:val="center"/>
              <w:rPr>
                <w:rFonts w:ascii="宋体" w:eastAsia="宋体" w:hAnsi="宋体" w:cs="Times New Roman"/>
                <w:kern w:val="0"/>
                <w:sz w:val="24"/>
                <w:szCs w:val="24"/>
              </w:rPr>
            </w:pPr>
            <w:r>
              <w:rPr>
                <w:rFonts w:ascii="宋体" w:eastAsia="宋体" w:hAnsi="宋体" w:cs="Times New Roman"/>
                <w:kern w:val="0"/>
                <w:sz w:val="24"/>
                <w:szCs w:val="24"/>
              </w:rPr>
              <w:t>10</w:t>
            </w:r>
          </w:p>
        </w:tc>
        <w:tc>
          <w:tcPr>
            <w:tcW w:w="1701" w:type="dxa"/>
            <w:vAlign w:val="center"/>
          </w:tcPr>
          <w:p w14:paraId="4C208AE7" w14:textId="77777777" w:rsidR="0056070C" w:rsidRDefault="00BB5E36">
            <w:pPr>
              <w:widowControl/>
              <w:jc w:val="center"/>
              <w:rPr>
                <w:rFonts w:ascii="宋体" w:eastAsia="宋体" w:hAnsi="宋体" w:cs="Times New Roman"/>
                <w:kern w:val="0"/>
                <w:sz w:val="24"/>
                <w:szCs w:val="24"/>
              </w:rPr>
            </w:pPr>
            <w:r>
              <w:rPr>
                <w:rFonts w:ascii="宋体" w:eastAsia="宋体" w:hAnsi="宋体" w:cs="Times New Roman"/>
                <w:kern w:val="0"/>
                <w:sz w:val="24"/>
                <w:szCs w:val="24"/>
              </w:rPr>
              <w:t>10</w:t>
            </w:r>
          </w:p>
        </w:tc>
      </w:tr>
      <w:tr w:rsidR="0056070C" w14:paraId="535F5F97" w14:textId="77777777">
        <w:trPr>
          <w:trHeight w:val="617"/>
          <w:jc w:val="center"/>
        </w:trPr>
        <w:tc>
          <w:tcPr>
            <w:tcW w:w="2812" w:type="dxa"/>
            <w:vMerge w:val="restart"/>
            <w:vAlign w:val="center"/>
          </w:tcPr>
          <w:p w14:paraId="49580F73" w14:textId="77777777" w:rsidR="0056070C" w:rsidRDefault="00BB5E36">
            <w:pPr>
              <w:widowControl/>
              <w:jc w:val="left"/>
              <w:rPr>
                <w:rFonts w:ascii="宋体" w:eastAsia="宋体" w:hAnsi="宋体" w:cs="Times New Roman"/>
                <w:kern w:val="0"/>
                <w:sz w:val="24"/>
                <w:szCs w:val="24"/>
              </w:rPr>
            </w:pPr>
            <w:r>
              <w:rPr>
                <w:rFonts w:ascii="宋体" w:eastAsia="宋体" w:hAnsi="宋体" w:cs="Times New Roman"/>
                <w:kern w:val="0"/>
                <w:sz w:val="24"/>
                <w:szCs w:val="24"/>
              </w:rPr>
              <w:t>信用违约互换</w:t>
            </w:r>
            <w:r>
              <w:rPr>
                <w:rFonts w:ascii="宋体" w:eastAsia="宋体" w:hAnsi="宋体" w:cs="Times New Roman" w:hint="eastAsia"/>
                <w:kern w:val="0"/>
                <w:sz w:val="24"/>
                <w:szCs w:val="24"/>
              </w:rPr>
              <w:t>、信用违约互换指数、信用风险缓释凭证、信用保护合约、信用保护凭证等具有上述产品功能的信用衍生工具</w:t>
            </w:r>
          </w:p>
        </w:tc>
        <w:tc>
          <w:tcPr>
            <w:tcW w:w="1985" w:type="dxa"/>
            <w:vAlign w:val="center"/>
          </w:tcPr>
          <w:p w14:paraId="525585FE" w14:textId="77777777" w:rsidR="0056070C" w:rsidRDefault="00BB5E36">
            <w:pPr>
              <w:widowControl/>
              <w:jc w:val="center"/>
              <w:rPr>
                <w:rFonts w:ascii="宋体" w:eastAsia="宋体" w:hAnsi="宋体" w:cs="Times New Roman"/>
                <w:kern w:val="0"/>
                <w:sz w:val="24"/>
                <w:szCs w:val="24"/>
              </w:rPr>
            </w:pPr>
            <w:r>
              <w:rPr>
                <w:rFonts w:ascii="宋体" w:eastAsia="宋体" w:hAnsi="宋体" w:cs="Times New Roman"/>
                <w:kern w:val="0"/>
                <w:sz w:val="24"/>
                <w:szCs w:val="24"/>
              </w:rPr>
              <w:t>合格参照资产</w:t>
            </w:r>
          </w:p>
        </w:tc>
        <w:tc>
          <w:tcPr>
            <w:tcW w:w="1730" w:type="dxa"/>
            <w:vAlign w:val="center"/>
          </w:tcPr>
          <w:p w14:paraId="36024B99" w14:textId="77777777" w:rsidR="0056070C" w:rsidRDefault="00BB5E36">
            <w:pPr>
              <w:widowControl/>
              <w:jc w:val="center"/>
              <w:rPr>
                <w:rFonts w:ascii="宋体" w:eastAsia="宋体" w:hAnsi="宋体" w:cs="Times New Roman"/>
                <w:kern w:val="0"/>
                <w:sz w:val="24"/>
                <w:szCs w:val="24"/>
              </w:rPr>
            </w:pPr>
            <w:r>
              <w:rPr>
                <w:rFonts w:ascii="宋体" w:eastAsia="宋体" w:hAnsi="宋体" w:cs="Times New Roman"/>
                <w:kern w:val="0"/>
                <w:sz w:val="24"/>
                <w:szCs w:val="24"/>
              </w:rPr>
              <w:t>5</w:t>
            </w:r>
          </w:p>
        </w:tc>
        <w:tc>
          <w:tcPr>
            <w:tcW w:w="1701" w:type="dxa"/>
            <w:vAlign w:val="center"/>
          </w:tcPr>
          <w:p w14:paraId="111AFCC2" w14:textId="77777777" w:rsidR="0056070C" w:rsidRDefault="00BB5E36">
            <w:pPr>
              <w:widowControl/>
              <w:jc w:val="center"/>
              <w:rPr>
                <w:rFonts w:ascii="宋体" w:eastAsia="宋体" w:hAnsi="宋体" w:cs="Times New Roman"/>
                <w:kern w:val="0"/>
                <w:sz w:val="24"/>
                <w:szCs w:val="24"/>
              </w:rPr>
            </w:pPr>
            <w:r>
              <w:rPr>
                <w:rFonts w:ascii="宋体" w:eastAsia="宋体" w:hAnsi="宋体" w:cs="Times New Roman"/>
                <w:kern w:val="0"/>
                <w:sz w:val="24"/>
                <w:szCs w:val="24"/>
              </w:rPr>
              <w:t>5</w:t>
            </w:r>
          </w:p>
        </w:tc>
      </w:tr>
      <w:tr w:rsidR="0056070C" w14:paraId="2D5B549C" w14:textId="77777777">
        <w:trPr>
          <w:trHeight w:val="617"/>
          <w:jc w:val="center"/>
        </w:trPr>
        <w:tc>
          <w:tcPr>
            <w:tcW w:w="2812" w:type="dxa"/>
            <w:vMerge/>
            <w:vAlign w:val="center"/>
          </w:tcPr>
          <w:p w14:paraId="0CE2F7C7" w14:textId="77777777" w:rsidR="0056070C" w:rsidRDefault="0056070C">
            <w:pPr>
              <w:widowControl/>
              <w:ind w:firstLineChars="200" w:firstLine="480"/>
              <w:jc w:val="center"/>
              <w:rPr>
                <w:rFonts w:ascii="宋体" w:eastAsia="宋体" w:hAnsi="宋体" w:cs="Times New Roman"/>
                <w:kern w:val="0"/>
                <w:sz w:val="24"/>
                <w:szCs w:val="24"/>
              </w:rPr>
            </w:pPr>
          </w:p>
        </w:tc>
        <w:tc>
          <w:tcPr>
            <w:tcW w:w="1985" w:type="dxa"/>
            <w:vAlign w:val="center"/>
          </w:tcPr>
          <w:p w14:paraId="7A48518D" w14:textId="77777777" w:rsidR="0056070C" w:rsidRDefault="00BB5E36">
            <w:pPr>
              <w:widowControl/>
              <w:jc w:val="center"/>
              <w:rPr>
                <w:rFonts w:ascii="宋体" w:eastAsia="宋体" w:hAnsi="宋体" w:cs="Times New Roman"/>
                <w:kern w:val="0"/>
                <w:sz w:val="24"/>
                <w:szCs w:val="24"/>
              </w:rPr>
            </w:pPr>
            <w:r>
              <w:rPr>
                <w:rFonts w:ascii="宋体" w:eastAsia="宋体" w:hAnsi="宋体" w:cs="Times New Roman"/>
                <w:kern w:val="0"/>
                <w:sz w:val="24"/>
                <w:szCs w:val="24"/>
              </w:rPr>
              <w:t>不合格参照资产</w:t>
            </w:r>
          </w:p>
        </w:tc>
        <w:tc>
          <w:tcPr>
            <w:tcW w:w="1730" w:type="dxa"/>
            <w:vAlign w:val="center"/>
          </w:tcPr>
          <w:p w14:paraId="436D7A45" w14:textId="77777777" w:rsidR="0056070C" w:rsidRDefault="00BB5E36">
            <w:pPr>
              <w:widowControl/>
              <w:jc w:val="center"/>
              <w:rPr>
                <w:rFonts w:ascii="宋体" w:eastAsia="宋体" w:hAnsi="宋体" w:cs="Times New Roman"/>
                <w:kern w:val="0"/>
                <w:sz w:val="24"/>
                <w:szCs w:val="24"/>
              </w:rPr>
            </w:pPr>
            <w:r>
              <w:rPr>
                <w:rFonts w:ascii="宋体" w:eastAsia="宋体" w:hAnsi="宋体" w:cs="Times New Roman"/>
                <w:kern w:val="0"/>
                <w:sz w:val="24"/>
                <w:szCs w:val="24"/>
              </w:rPr>
              <w:t>10</w:t>
            </w:r>
          </w:p>
        </w:tc>
        <w:tc>
          <w:tcPr>
            <w:tcW w:w="1701" w:type="dxa"/>
            <w:vAlign w:val="center"/>
          </w:tcPr>
          <w:p w14:paraId="59F88035" w14:textId="77777777" w:rsidR="0056070C" w:rsidRDefault="00BB5E36">
            <w:pPr>
              <w:widowControl/>
              <w:jc w:val="center"/>
              <w:rPr>
                <w:rFonts w:ascii="宋体" w:eastAsia="宋体" w:hAnsi="宋体" w:cs="Times New Roman"/>
                <w:kern w:val="0"/>
                <w:sz w:val="24"/>
                <w:szCs w:val="24"/>
              </w:rPr>
            </w:pPr>
            <w:r>
              <w:rPr>
                <w:rFonts w:ascii="宋体" w:eastAsia="宋体" w:hAnsi="宋体" w:cs="Times New Roman"/>
                <w:kern w:val="0"/>
                <w:sz w:val="24"/>
                <w:szCs w:val="24"/>
              </w:rPr>
              <w:t>10</w:t>
            </w:r>
          </w:p>
        </w:tc>
      </w:tr>
    </w:tbl>
    <w:p w14:paraId="23C9B8F8"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）合格参照资产包括我国中央政府、中国人民银行、开</w:t>
      </w:r>
      <w:r>
        <w:rPr>
          <w:rFonts w:ascii="仿宋_GB2312" w:eastAsia="仿宋_GB2312" w:hAnsi="Times New Roman" w:cs="Times New Roman" w:hint="eastAsia"/>
          <w:bCs/>
          <w:sz w:val="30"/>
          <w:szCs w:val="30"/>
        </w:rPr>
        <w:lastRenderedPageBreak/>
        <w:t>发性金融机构和政策性银行发行的债券，以及本办法附件</w:t>
      </w:r>
      <w:r>
        <w:rPr>
          <w:rFonts w:ascii="仿宋_GB2312" w:eastAsia="仿宋_GB2312" w:hAnsi="Times New Roman" w:cs="Times New Roman" w:hint="eastAsia"/>
          <w:bCs/>
          <w:sz w:val="30"/>
          <w:szCs w:val="30"/>
        </w:rPr>
        <w:t>16</w:t>
      </w:r>
      <w:r>
        <w:rPr>
          <w:rFonts w:ascii="仿宋_GB2312" w:eastAsia="仿宋_GB2312" w:hAnsi="Times New Roman" w:cs="Times New Roman" w:hint="eastAsia"/>
          <w:bCs/>
          <w:sz w:val="30"/>
          <w:szCs w:val="30"/>
        </w:rPr>
        <w:t>所规定的政府证券和合格证券。</w:t>
      </w:r>
    </w:p>
    <w:p w14:paraId="0CC9C2D6"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）信用违约互换的信用保护卖方只有在参照资产的发行人尚能履约但信用保护买方破产的情况下才需计算附加因子，且以信用保护买方尚未支付的费用为上限。</w:t>
      </w:r>
    </w:p>
    <w:p w14:paraId="33443CD2"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在信用衍生工具的参照资产由多项资产构成的情况下，如果参照资产组中第一项参照资产违约即算做整体违约，附加系数由参照资产组中信用质量最低的参照资产决定；如果参照资产组中第二项参照资产违约才算整体违约，则附加系数由信用质量次低的参照资产决定，依此类推。</w:t>
      </w:r>
    </w:p>
    <w:p w14:paraId="5BDE1D27" w14:textId="77777777" w:rsidR="0056070C" w:rsidRDefault="00BB5E36">
      <w:pPr>
        <w:spacing w:line="480" w:lineRule="exact"/>
        <w:ind w:firstLineChars="200" w:firstLine="600"/>
        <w:rPr>
          <w:rFonts w:ascii="Times New Roman" w:eastAsia="仿宋_GB2312" w:hAnsi="Times New Roman" w:cs="Times New Roman"/>
          <w:bCs/>
          <w:sz w:val="30"/>
          <w:szCs w:val="30"/>
        </w:rPr>
      </w:pP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除信用衍生工具外，其他衍生工具的附加系数见表</w:t>
      </w: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w:t>
      </w:r>
    </w:p>
    <w:p w14:paraId="73114B57" w14:textId="77777777" w:rsidR="0056070C" w:rsidRDefault="00BB5E36">
      <w:pPr>
        <w:widowControl/>
        <w:spacing w:line="480" w:lineRule="exact"/>
        <w:ind w:firstLineChars="200" w:firstLine="562"/>
        <w:jc w:val="center"/>
        <w:rPr>
          <w:rFonts w:ascii="Times New Roman" w:eastAsia="楷体_GB2312" w:hAnsi="Times New Roman" w:cs="Times New Roman"/>
          <w:b/>
          <w:sz w:val="28"/>
          <w:szCs w:val="28"/>
        </w:rPr>
      </w:pPr>
      <w:r>
        <w:rPr>
          <w:rFonts w:ascii="Times New Roman" w:eastAsia="楷体_GB2312" w:hAnsi="Times New Roman" w:cs="Times New Roman"/>
          <w:b/>
          <w:sz w:val="28"/>
          <w:szCs w:val="28"/>
        </w:rPr>
        <w:t>表</w:t>
      </w:r>
      <w:r>
        <w:rPr>
          <w:rFonts w:ascii="楷体_GB2312" w:eastAsia="楷体_GB2312" w:hAnsi="Times New Roman" w:cs="Times New Roman" w:hint="eastAsia"/>
          <w:b/>
          <w:sz w:val="28"/>
          <w:szCs w:val="28"/>
        </w:rPr>
        <w:t>5</w:t>
      </w:r>
      <w:r>
        <w:rPr>
          <w:rFonts w:ascii="Times New Roman" w:eastAsia="楷体_GB2312" w:hAnsi="Times New Roman" w:cs="Times New Roman"/>
          <w:b/>
          <w:sz w:val="28"/>
          <w:szCs w:val="28"/>
        </w:rPr>
        <w:t xml:space="preserve"> </w:t>
      </w:r>
      <w:r>
        <w:rPr>
          <w:rFonts w:ascii="Times New Roman" w:eastAsia="楷体_GB2312" w:hAnsi="Times New Roman" w:cs="Times New Roman" w:hint="eastAsia"/>
          <w:b/>
          <w:sz w:val="28"/>
          <w:szCs w:val="28"/>
        </w:rPr>
        <w:t xml:space="preserve"> </w:t>
      </w:r>
      <w:r>
        <w:rPr>
          <w:rFonts w:ascii="Times New Roman" w:eastAsia="楷体_GB2312" w:hAnsi="Times New Roman" w:cs="Times New Roman"/>
          <w:b/>
          <w:sz w:val="28"/>
          <w:szCs w:val="28"/>
        </w:rPr>
        <w:t>各类其他衍生工具的附加系数</w:t>
      </w:r>
    </w:p>
    <w:tbl>
      <w:tblPr>
        <w:tblStyle w:val="af1"/>
        <w:tblW w:w="9180" w:type="dxa"/>
        <w:jc w:val="center"/>
        <w:tblLayout w:type="fixed"/>
        <w:tblLook w:val="04A0" w:firstRow="1" w:lastRow="0" w:firstColumn="1" w:lastColumn="0" w:noHBand="0" w:noVBand="1"/>
      </w:tblPr>
      <w:tblGrid>
        <w:gridCol w:w="1530"/>
        <w:gridCol w:w="1530"/>
        <w:gridCol w:w="1530"/>
        <w:gridCol w:w="1501"/>
        <w:gridCol w:w="1559"/>
        <w:gridCol w:w="1530"/>
      </w:tblGrid>
      <w:tr w:rsidR="0056070C" w14:paraId="6089BB2C" w14:textId="77777777">
        <w:trPr>
          <w:jc w:val="center"/>
        </w:trPr>
        <w:tc>
          <w:tcPr>
            <w:tcW w:w="1530" w:type="dxa"/>
            <w:vAlign w:val="center"/>
          </w:tcPr>
          <w:p w14:paraId="79843134" w14:textId="77777777" w:rsidR="0056070C" w:rsidRDefault="00BB5E36">
            <w:pPr>
              <w:widowControl/>
              <w:jc w:val="center"/>
              <w:rPr>
                <w:rFonts w:ascii="宋体" w:eastAsia="宋体" w:hAnsi="宋体" w:cs="Times New Roman"/>
                <w:b/>
                <w:bCs/>
                <w:kern w:val="0"/>
                <w:sz w:val="24"/>
                <w:szCs w:val="24"/>
              </w:rPr>
            </w:pPr>
            <w:r>
              <w:rPr>
                <w:rFonts w:ascii="宋体" w:eastAsia="宋体" w:hAnsi="宋体" w:cs="Times New Roman"/>
                <w:b/>
                <w:bCs/>
                <w:kern w:val="0"/>
                <w:sz w:val="24"/>
                <w:szCs w:val="24"/>
              </w:rPr>
              <w:t>剩余期限</w:t>
            </w:r>
          </w:p>
        </w:tc>
        <w:tc>
          <w:tcPr>
            <w:tcW w:w="1530" w:type="dxa"/>
            <w:vAlign w:val="center"/>
          </w:tcPr>
          <w:p w14:paraId="5F60879B" w14:textId="77777777" w:rsidR="0056070C" w:rsidRDefault="00BB5E36">
            <w:pPr>
              <w:pStyle w:val="Paragraph"/>
              <w:keepNext/>
              <w:spacing w:after="0"/>
              <w:jc w:val="center"/>
              <w:rPr>
                <w:rFonts w:ascii="宋体" w:hAnsi="宋体"/>
                <w:b/>
                <w:bCs/>
                <w:sz w:val="24"/>
                <w:szCs w:val="24"/>
                <w:lang w:val="en-US"/>
              </w:rPr>
            </w:pPr>
            <w:r>
              <w:rPr>
                <w:rFonts w:ascii="宋体" w:hAnsi="宋体"/>
                <w:b/>
                <w:bCs/>
                <w:sz w:val="24"/>
                <w:szCs w:val="24"/>
                <w:lang w:val="en-US"/>
              </w:rPr>
              <w:t>利率（％）</w:t>
            </w:r>
          </w:p>
        </w:tc>
        <w:tc>
          <w:tcPr>
            <w:tcW w:w="1530" w:type="dxa"/>
            <w:vAlign w:val="center"/>
          </w:tcPr>
          <w:p w14:paraId="153F3EEC" w14:textId="77777777" w:rsidR="0056070C" w:rsidRDefault="00BB5E36">
            <w:pPr>
              <w:pStyle w:val="Paragraph"/>
              <w:keepNext/>
              <w:spacing w:after="0"/>
              <w:jc w:val="center"/>
              <w:rPr>
                <w:rFonts w:ascii="宋体" w:hAnsi="宋体"/>
                <w:b/>
                <w:bCs/>
                <w:sz w:val="24"/>
                <w:szCs w:val="24"/>
                <w:lang w:val="en-US"/>
              </w:rPr>
            </w:pPr>
            <w:r>
              <w:rPr>
                <w:rFonts w:ascii="宋体" w:hAnsi="宋体"/>
                <w:b/>
                <w:bCs/>
                <w:sz w:val="24"/>
                <w:szCs w:val="24"/>
                <w:lang w:val="en-US"/>
              </w:rPr>
              <w:t>汇率和黄金（％）</w:t>
            </w:r>
          </w:p>
        </w:tc>
        <w:tc>
          <w:tcPr>
            <w:tcW w:w="1501" w:type="dxa"/>
            <w:vAlign w:val="center"/>
          </w:tcPr>
          <w:p w14:paraId="365D8FA5" w14:textId="77777777" w:rsidR="0056070C" w:rsidRDefault="00BB5E36">
            <w:pPr>
              <w:pStyle w:val="Paragraph"/>
              <w:keepNext/>
              <w:spacing w:after="0"/>
              <w:jc w:val="center"/>
              <w:rPr>
                <w:rFonts w:ascii="宋体" w:hAnsi="宋体"/>
                <w:b/>
                <w:bCs/>
                <w:sz w:val="24"/>
                <w:szCs w:val="24"/>
                <w:lang w:val="en-US"/>
              </w:rPr>
            </w:pPr>
            <w:r>
              <w:rPr>
                <w:rFonts w:ascii="宋体" w:hAnsi="宋体"/>
                <w:b/>
                <w:bCs/>
                <w:sz w:val="24"/>
                <w:szCs w:val="24"/>
                <w:lang w:val="en-US"/>
              </w:rPr>
              <w:t>股票（％）</w:t>
            </w:r>
          </w:p>
        </w:tc>
        <w:tc>
          <w:tcPr>
            <w:tcW w:w="1559" w:type="dxa"/>
            <w:vAlign w:val="center"/>
          </w:tcPr>
          <w:p w14:paraId="3E5C715A" w14:textId="77777777" w:rsidR="0056070C" w:rsidRDefault="00BB5E36">
            <w:pPr>
              <w:pStyle w:val="Paragraph"/>
              <w:keepNext/>
              <w:spacing w:after="0"/>
              <w:jc w:val="center"/>
              <w:rPr>
                <w:rFonts w:ascii="宋体" w:hAnsi="宋体"/>
                <w:b/>
                <w:bCs/>
                <w:sz w:val="24"/>
                <w:szCs w:val="24"/>
                <w:lang w:val="en-US"/>
              </w:rPr>
            </w:pPr>
            <w:r>
              <w:rPr>
                <w:rFonts w:ascii="宋体" w:hAnsi="宋体"/>
                <w:b/>
                <w:bCs/>
                <w:sz w:val="24"/>
                <w:szCs w:val="24"/>
                <w:lang w:val="en-US"/>
              </w:rPr>
              <w:t>黄金以外的贵金属（％）</w:t>
            </w:r>
          </w:p>
        </w:tc>
        <w:tc>
          <w:tcPr>
            <w:tcW w:w="1530" w:type="dxa"/>
            <w:vAlign w:val="center"/>
          </w:tcPr>
          <w:p w14:paraId="7B755D50" w14:textId="77777777" w:rsidR="0056070C" w:rsidRDefault="00BB5E36">
            <w:pPr>
              <w:pStyle w:val="Paragraph"/>
              <w:keepNext/>
              <w:spacing w:after="0"/>
              <w:jc w:val="center"/>
              <w:rPr>
                <w:rFonts w:ascii="宋体" w:hAnsi="宋体"/>
                <w:b/>
                <w:bCs/>
                <w:sz w:val="24"/>
                <w:szCs w:val="24"/>
                <w:lang w:val="en-US"/>
              </w:rPr>
            </w:pPr>
            <w:r>
              <w:rPr>
                <w:rFonts w:ascii="宋体" w:hAnsi="宋体"/>
                <w:b/>
                <w:bCs/>
                <w:sz w:val="24"/>
                <w:szCs w:val="24"/>
                <w:lang w:val="en-US"/>
              </w:rPr>
              <w:t>其</w:t>
            </w:r>
            <w:r>
              <w:rPr>
                <w:rFonts w:ascii="宋体" w:hAnsi="宋体" w:hint="eastAsia"/>
                <w:b/>
                <w:bCs/>
                <w:sz w:val="24"/>
                <w:szCs w:val="24"/>
                <w:lang w:val="en-US"/>
              </w:rPr>
              <w:t>他</w:t>
            </w:r>
            <w:r>
              <w:rPr>
                <w:rFonts w:ascii="宋体" w:hAnsi="宋体"/>
                <w:b/>
                <w:bCs/>
                <w:sz w:val="24"/>
                <w:szCs w:val="24"/>
                <w:lang w:val="en-US"/>
              </w:rPr>
              <w:t>商品（％）</w:t>
            </w:r>
          </w:p>
        </w:tc>
      </w:tr>
      <w:tr w:rsidR="0056070C" w14:paraId="65713484" w14:textId="77777777">
        <w:trPr>
          <w:jc w:val="center"/>
        </w:trPr>
        <w:tc>
          <w:tcPr>
            <w:tcW w:w="1530" w:type="dxa"/>
            <w:vAlign w:val="center"/>
          </w:tcPr>
          <w:p w14:paraId="1EDE8398" w14:textId="77777777" w:rsidR="0056070C" w:rsidRDefault="00BB5E36">
            <w:pPr>
              <w:widowControl/>
              <w:jc w:val="center"/>
              <w:rPr>
                <w:rFonts w:ascii="宋体" w:eastAsia="宋体" w:hAnsi="宋体" w:cs="Times New Roman"/>
                <w:kern w:val="0"/>
                <w:sz w:val="24"/>
                <w:szCs w:val="24"/>
              </w:rPr>
            </w:pPr>
            <w:r>
              <w:rPr>
                <w:rFonts w:ascii="宋体" w:eastAsia="宋体" w:hAnsi="宋体" w:cs="Times New Roman"/>
                <w:kern w:val="0"/>
                <w:sz w:val="24"/>
                <w:szCs w:val="24"/>
              </w:rPr>
              <w:t>不超过</w:t>
            </w:r>
            <w:r>
              <w:rPr>
                <w:rFonts w:ascii="宋体" w:eastAsia="宋体" w:hAnsi="宋体" w:cs="Times New Roman"/>
                <w:kern w:val="0"/>
                <w:sz w:val="24"/>
                <w:szCs w:val="24"/>
              </w:rPr>
              <w:t>1</w:t>
            </w:r>
            <w:r>
              <w:rPr>
                <w:rFonts w:ascii="宋体" w:eastAsia="宋体" w:hAnsi="宋体" w:cs="Times New Roman"/>
                <w:kern w:val="0"/>
                <w:sz w:val="24"/>
                <w:szCs w:val="24"/>
              </w:rPr>
              <w:t>年</w:t>
            </w:r>
          </w:p>
        </w:tc>
        <w:tc>
          <w:tcPr>
            <w:tcW w:w="1530" w:type="dxa"/>
            <w:vAlign w:val="center"/>
          </w:tcPr>
          <w:p w14:paraId="596B1451" w14:textId="77777777" w:rsidR="0056070C" w:rsidRDefault="00BB5E36">
            <w:pPr>
              <w:widowControl/>
              <w:ind w:firstLineChars="200" w:firstLine="480"/>
              <w:rPr>
                <w:rFonts w:ascii="宋体" w:eastAsia="宋体" w:hAnsi="宋体" w:cs="Times New Roman"/>
                <w:kern w:val="0"/>
                <w:sz w:val="24"/>
                <w:szCs w:val="24"/>
              </w:rPr>
            </w:pPr>
            <w:r>
              <w:rPr>
                <w:rFonts w:ascii="宋体" w:eastAsia="宋体" w:hAnsi="宋体" w:cs="Times New Roman"/>
                <w:kern w:val="0"/>
                <w:sz w:val="24"/>
                <w:szCs w:val="24"/>
              </w:rPr>
              <w:t>0.0</w:t>
            </w:r>
          </w:p>
        </w:tc>
        <w:tc>
          <w:tcPr>
            <w:tcW w:w="1530" w:type="dxa"/>
            <w:vAlign w:val="center"/>
          </w:tcPr>
          <w:p w14:paraId="7BF746CE" w14:textId="77777777" w:rsidR="0056070C" w:rsidRDefault="00BB5E36">
            <w:pPr>
              <w:widowControl/>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1.0</w:t>
            </w:r>
          </w:p>
        </w:tc>
        <w:tc>
          <w:tcPr>
            <w:tcW w:w="1501" w:type="dxa"/>
            <w:vAlign w:val="center"/>
          </w:tcPr>
          <w:p w14:paraId="586455CE" w14:textId="77777777" w:rsidR="0056070C" w:rsidRDefault="00BB5E36">
            <w:pPr>
              <w:widowControl/>
              <w:ind w:firstLineChars="200" w:firstLine="480"/>
              <w:rPr>
                <w:rFonts w:ascii="宋体" w:eastAsia="宋体" w:hAnsi="宋体" w:cs="Times New Roman"/>
                <w:kern w:val="0"/>
                <w:sz w:val="24"/>
                <w:szCs w:val="24"/>
              </w:rPr>
            </w:pPr>
            <w:r>
              <w:rPr>
                <w:rFonts w:ascii="宋体" w:eastAsia="宋体" w:hAnsi="宋体" w:cs="Times New Roman"/>
                <w:kern w:val="0"/>
                <w:sz w:val="24"/>
                <w:szCs w:val="24"/>
              </w:rPr>
              <w:t>6.0</w:t>
            </w:r>
          </w:p>
        </w:tc>
        <w:tc>
          <w:tcPr>
            <w:tcW w:w="1559" w:type="dxa"/>
            <w:vAlign w:val="center"/>
          </w:tcPr>
          <w:p w14:paraId="1C3C9B2D" w14:textId="77777777" w:rsidR="0056070C" w:rsidRDefault="00BB5E36">
            <w:pPr>
              <w:widowControl/>
              <w:ind w:firstLineChars="200" w:firstLine="480"/>
              <w:rPr>
                <w:rFonts w:ascii="宋体" w:eastAsia="宋体" w:hAnsi="宋体" w:cs="Times New Roman"/>
                <w:kern w:val="0"/>
                <w:sz w:val="24"/>
                <w:szCs w:val="24"/>
              </w:rPr>
            </w:pPr>
            <w:r>
              <w:rPr>
                <w:rFonts w:ascii="宋体" w:eastAsia="宋体" w:hAnsi="宋体" w:cs="Times New Roman"/>
                <w:kern w:val="0"/>
                <w:sz w:val="24"/>
                <w:szCs w:val="24"/>
              </w:rPr>
              <w:t>7.0</w:t>
            </w:r>
          </w:p>
        </w:tc>
        <w:tc>
          <w:tcPr>
            <w:tcW w:w="1530" w:type="dxa"/>
            <w:vAlign w:val="center"/>
          </w:tcPr>
          <w:p w14:paraId="5C19D0EE" w14:textId="77777777" w:rsidR="0056070C" w:rsidRDefault="00BB5E36">
            <w:pPr>
              <w:widowControl/>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10.0</w:t>
            </w:r>
          </w:p>
        </w:tc>
      </w:tr>
      <w:tr w:rsidR="0056070C" w14:paraId="214F0FA9" w14:textId="77777777">
        <w:trPr>
          <w:jc w:val="center"/>
        </w:trPr>
        <w:tc>
          <w:tcPr>
            <w:tcW w:w="1530" w:type="dxa"/>
            <w:vAlign w:val="center"/>
          </w:tcPr>
          <w:p w14:paraId="42F8A809" w14:textId="77777777" w:rsidR="0056070C" w:rsidRDefault="00BB5E36">
            <w:pPr>
              <w:widowControl/>
              <w:jc w:val="center"/>
              <w:rPr>
                <w:rFonts w:ascii="宋体" w:eastAsia="宋体" w:hAnsi="宋体" w:cs="Times New Roman"/>
                <w:kern w:val="0"/>
                <w:sz w:val="24"/>
                <w:szCs w:val="24"/>
              </w:rPr>
            </w:pPr>
            <w:r>
              <w:rPr>
                <w:rFonts w:ascii="宋体" w:eastAsia="宋体" w:hAnsi="宋体" w:cs="Times New Roman"/>
                <w:kern w:val="0"/>
                <w:sz w:val="24"/>
                <w:szCs w:val="24"/>
              </w:rPr>
              <w:t>1</w:t>
            </w:r>
            <w:r>
              <w:rPr>
                <w:rFonts w:ascii="宋体" w:eastAsia="宋体" w:hAnsi="宋体" w:cs="Times New Roman"/>
                <w:kern w:val="0"/>
                <w:sz w:val="24"/>
                <w:szCs w:val="24"/>
              </w:rPr>
              <w:t>年以上，不超过</w:t>
            </w:r>
            <w:r>
              <w:rPr>
                <w:rFonts w:ascii="宋体" w:eastAsia="宋体" w:hAnsi="宋体" w:cs="Times New Roman"/>
                <w:kern w:val="0"/>
                <w:sz w:val="24"/>
                <w:szCs w:val="24"/>
              </w:rPr>
              <w:t>5</w:t>
            </w:r>
            <w:r>
              <w:rPr>
                <w:rFonts w:ascii="宋体" w:eastAsia="宋体" w:hAnsi="宋体" w:cs="Times New Roman"/>
                <w:kern w:val="0"/>
                <w:sz w:val="24"/>
                <w:szCs w:val="24"/>
              </w:rPr>
              <w:t>年</w:t>
            </w:r>
          </w:p>
        </w:tc>
        <w:tc>
          <w:tcPr>
            <w:tcW w:w="1530" w:type="dxa"/>
            <w:vAlign w:val="center"/>
          </w:tcPr>
          <w:p w14:paraId="58533351" w14:textId="77777777" w:rsidR="0056070C" w:rsidRDefault="00BB5E36">
            <w:pPr>
              <w:widowControl/>
              <w:ind w:firstLineChars="200" w:firstLine="480"/>
              <w:rPr>
                <w:rFonts w:ascii="宋体" w:eastAsia="宋体" w:hAnsi="宋体" w:cs="Times New Roman"/>
                <w:kern w:val="0"/>
                <w:sz w:val="24"/>
                <w:szCs w:val="24"/>
              </w:rPr>
            </w:pPr>
            <w:r>
              <w:rPr>
                <w:rFonts w:ascii="宋体" w:eastAsia="宋体" w:hAnsi="宋体" w:cs="Times New Roman"/>
                <w:kern w:val="0"/>
                <w:sz w:val="24"/>
                <w:szCs w:val="24"/>
              </w:rPr>
              <w:t>0.5</w:t>
            </w:r>
          </w:p>
        </w:tc>
        <w:tc>
          <w:tcPr>
            <w:tcW w:w="1530" w:type="dxa"/>
            <w:vAlign w:val="center"/>
          </w:tcPr>
          <w:p w14:paraId="0AE4804C" w14:textId="77777777" w:rsidR="0056070C" w:rsidRDefault="00BB5E36">
            <w:pPr>
              <w:widowControl/>
              <w:ind w:firstLineChars="200" w:firstLine="480"/>
              <w:rPr>
                <w:rFonts w:ascii="宋体" w:eastAsia="宋体" w:hAnsi="宋体" w:cs="Times New Roman"/>
                <w:kern w:val="0"/>
                <w:sz w:val="24"/>
                <w:szCs w:val="24"/>
              </w:rPr>
            </w:pPr>
            <w:r>
              <w:rPr>
                <w:rFonts w:ascii="宋体" w:eastAsia="宋体" w:hAnsi="宋体" w:cs="Times New Roman"/>
                <w:kern w:val="0"/>
                <w:sz w:val="24"/>
                <w:szCs w:val="24"/>
              </w:rPr>
              <w:t>5.0</w:t>
            </w:r>
          </w:p>
        </w:tc>
        <w:tc>
          <w:tcPr>
            <w:tcW w:w="1501" w:type="dxa"/>
            <w:vAlign w:val="center"/>
          </w:tcPr>
          <w:p w14:paraId="7B1A9D3A" w14:textId="77777777" w:rsidR="0056070C" w:rsidRDefault="00BB5E36">
            <w:pPr>
              <w:widowControl/>
              <w:ind w:firstLineChars="200" w:firstLine="480"/>
              <w:rPr>
                <w:rFonts w:ascii="宋体" w:eastAsia="宋体" w:hAnsi="宋体" w:cs="Times New Roman"/>
                <w:kern w:val="0"/>
                <w:sz w:val="24"/>
                <w:szCs w:val="24"/>
              </w:rPr>
            </w:pPr>
            <w:r>
              <w:rPr>
                <w:rFonts w:ascii="宋体" w:eastAsia="宋体" w:hAnsi="宋体" w:cs="Times New Roman"/>
                <w:kern w:val="0"/>
                <w:sz w:val="24"/>
                <w:szCs w:val="24"/>
              </w:rPr>
              <w:t>8.0</w:t>
            </w:r>
          </w:p>
        </w:tc>
        <w:tc>
          <w:tcPr>
            <w:tcW w:w="1559" w:type="dxa"/>
            <w:vAlign w:val="center"/>
          </w:tcPr>
          <w:p w14:paraId="470EAE0F" w14:textId="77777777" w:rsidR="0056070C" w:rsidRDefault="00BB5E36">
            <w:pPr>
              <w:widowControl/>
              <w:ind w:firstLineChars="200" w:firstLine="480"/>
              <w:rPr>
                <w:rFonts w:ascii="宋体" w:eastAsia="宋体" w:hAnsi="宋体" w:cs="Times New Roman"/>
                <w:kern w:val="0"/>
                <w:sz w:val="24"/>
                <w:szCs w:val="24"/>
              </w:rPr>
            </w:pPr>
            <w:r>
              <w:rPr>
                <w:rFonts w:ascii="宋体" w:eastAsia="宋体" w:hAnsi="宋体" w:cs="Times New Roman"/>
                <w:kern w:val="0"/>
                <w:sz w:val="24"/>
                <w:szCs w:val="24"/>
              </w:rPr>
              <w:t>7.0</w:t>
            </w:r>
          </w:p>
        </w:tc>
        <w:tc>
          <w:tcPr>
            <w:tcW w:w="1530" w:type="dxa"/>
            <w:vAlign w:val="center"/>
          </w:tcPr>
          <w:p w14:paraId="1938562F" w14:textId="77777777" w:rsidR="0056070C" w:rsidRDefault="00BB5E36">
            <w:pPr>
              <w:widowControl/>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12.0</w:t>
            </w:r>
          </w:p>
        </w:tc>
      </w:tr>
      <w:tr w:rsidR="0056070C" w14:paraId="1577A75E" w14:textId="77777777">
        <w:trPr>
          <w:jc w:val="center"/>
        </w:trPr>
        <w:tc>
          <w:tcPr>
            <w:tcW w:w="1530" w:type="dxa"/>
            <w:vAlign w:val="center"/>
          </w:tcPr>
          <w:p w14:paraId="71187DEA" w14:textId="77777777" w:rsidR="0056070C" w:rsidRDefault="00BB5E36">
            <w:pPr>
              <w:widowControl/>
              <w:jc w:val="center"/>
              <w:rPr>
                <w:rFonts w:ascii="宋体" w:eastAsia="宋体" w:hAnsi="宋体" w:cs="Times New Roman"/>
                <w:kern w:val="0"/>
                <w:sz w:val="24"/>
                <w:szCs w:val="24"/>
              </w:rPr>
            </w:pPr>
            <w:r>
              <w:rPr>
                <w:rFonts w:ascii="宋体" w:eastAsia="宋体" w:hAnsi="宋体" w:cs="Times New Roman"/>
                <w:kern w:val="0"/>
                <w:sz w:val="24"/>
                <w:szCs w:val="24"/>
              </w:rPr>
              <w:t>5</w:t>
            </w:r>
            <w:r>
              <w:rPr>
                <w:rFonts w:ascii="宋体" w:eastAsia="宋体" w:hAnsi="宋体" w:cs="Times New Roman"/>
                <w:kern w:val="0"/>
                <w:sz w:val="24"/>
                <w:szCs w:val="24"/>
              </w:rPr>
              <w:t>年以上</w:t>
            </w:r>
          </w:p>
        </w:tc>
        <w:tc>
          <w:tcPr>
            <w:tcW w:w="1530" w:type="dxa"/>
            <w:vAlign w:val="center"/>
          </w:tcPr>
          <w:p w14:paraId="53A36AB3" w14:textId="77777777" w:rsidR="0056070C" w:rsidRDefault="00BB5E36">
            <w:pPr>
              <w:widowControl/>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1.5</w:t>
            </w:r>
          </w:p>
        </w:tc>
        <w:tc>
          <w:tcPr>
            <w:tcW w:w="1530" w:type="dxa"/>
            <w:vAlign w:val="center"/>
          </w:tcPr>
          <w:p w14:paraId="3F41360F" w14:textId="77777777" w:rsidR="0056070C" w:rsidRDefault="00BB5E36">
            <w:pPr>
              <w:widowControl/>
              <w:ind w:firstLineChars="200" w:firstLine="480"/>
              <w:rPr>
                <w:rFonts w:ascii="宋体" w:eastAsia="宋体" w:hAnsi="宋体" w:cs="Times New Roman"/>
                <w:kern w:val="0"/>
                <w:sz w:val="24"/>
                <w:szCs w:val="24"/>
              </w:rPr>
            </w:pPr>
            <w:r>
              <w:rPr>
                <w:rFonts w:ascii="宋体" w:eastAsia="宋体" w:hAnsi="宋体" w:cs="Times New Roman"/>
                <w:kern w:val="0"/>
                <w:sz w:val="24"/>
                <w:szCs w:val="24"/>
              </w:rPr>
              <w:t>7.5</w:t>
            </w:r>
          </w:p>
        </w:tc>
        <w:tc>
          <w:tcPr>
            <w:tcW w:w="1501" w:type="dxa"/>
            <w:vAlign w:val="center"/>
          </w:tcPr>
          <w:p w14:paraId="43C3BFE8" w14:textId="77777777" w:rsidR="0056070C" w:rsidRDefault="00BB5E36">
            <w:pPr>
              <w:widowControl/>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10.0</w:t>
            </w:r>
          </w:p>
        </w:tc>
        <w:tc>
          <w:tcPr>
            <w:tcW w:w="1559" w:type="dxa"/>
            <w:vAlign w:val="center"/>
          </w:tcPr>
          <w:p w14:paraId="47A5F4AF" w14:textId="77777777" w:rsidR="0056070C" w:rsidRDefault="00BB5E36">
            <w:pPr>
              <w:widowControl/>
              <w:ind w:firstLineChars="200" w:firstLine="480"/>
              <w:rPr>
                <w:rFonts w:ascii="宋体" w:eastAsia="宋体" w:hAnsi="宋体" w:cs="Times New Roman"/>
                <w:kern w:val="0"/>
                <w:sz w:val="24"/>
                <w:szCs w:val="24"/>
              </w:rPr>
            </w:pPr>
            <w:r>
              <w:rPr>
                <w:rFonts w:ascii="宋体" w:eastAsia="宋体" w:hAnsi="宋体" w:cs="Times New Roman"/>
                <w:kern w:val="0"/>
                <w:sz w:val="24"/>
                <w:szCs w:val="24"/>
              </w:rPr>
              <w:t>8.0</w:t>
            </w:r>
          </w:p>
        </w:tc>
        <w:tc>
          <w:tcPr>
            <w:tcW w:w="1530" w:type="dxa"/>
            <w:vAlign w:val="center"/>
          </w:tcPr>
          <w:p w14:paraId="44A8A967" w14:textId="77777777" w:rsidR="0056070C" w:rsidRDefault="00BB5E36">
            <w:pPr>
              <w:widowControl/>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15.0</w:t>
            </w:r>
          </w:p>
        </w:tc>
      </w:tr>
    </w:tbl>
    <w:p w14:paraId="2A5C778C"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商业银行为对冲银行账簿信用风险或交易对手信用风险而购买的合格信用衍生工具，若在信用框架下已考虑风险缓释作用并足额计提风险加权资产，可认为违约风险暴露为</w:t>
      </w:r>
      <w:r>
        <w:rPr>
          <w:rFonts w:ascii="仿宋_GB2312" w:eastAsia="仿宋_GB2312" w:hAnsi="Times New Roman" w:cs="Times New Roman" w:hint="eastAsia"/>
          <w:bCs/>
          <w:sz w:val="30"/>
          <w:szCs w:val="30"/>
        </w:rPr>
        <w:t>0</w:t>
      </w:r>
      <w:r>
        <w:rPr>
          <w:rFonts w:ascii="仿宋_GB2312" w:eastAsia="仿宋_GB2312" w:hAnsi="Times New Roman" w:cs="Times New Roman" w:hint="eastAsia"/>
          <w:bCs/>
          <w:sz w:val="30"/>
          <w:szCs w:val="30"/>
        </w:rPr>
        <w:t>，其中，合格信用衍生工具应符合本办法附件</w:t>
      </w: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第四部分的标准。</w:t>
      </w:r>
    </w:p>
    <w:p w14:paraId="38630AC1"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若商业银行将销售的信用违约互换划入银行账簿，并且将其当作保证来计算信用风险加权资产，计算交易对手违约风险加权资产时该信用违约互换的违约风险暴露为</w:t>
      </w:r>
      <w:r>
        <w:rPr>
          <w:rFonts w:ascii="仿宋_GB2312" w:eastAsia="仿宋_GB2312" w:hAnsi="Times New Roman" w:cs="Times New Roman" w:hint="eastAsia"/>
          <w:bCs/>
          <w:sz w:val="30"/>
          <w:szCs w:val="30"/>
        </w:rPr>
        <w:t>0</w:t>
      </w:r>
      <w:r>
        <w:rPr>
          <w:rFonts w:ascii="仿宋_GB2312" w:eastAsia="仿宋_GB2312" w:hAnsi="Times New Roman" w:cs="Times New Roman" w:hint="eastAsia"/>
          <w:bCs/>
          <w:sz w:val="30"/>
          <w:szCs w:val="30"/>
        </w:rPr>
        <w:t>。</w:t>
      </w:r>
    </w:p>
    <w:p w14:paraId="4AA0603C"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衍生工具交易符合本附件第二部分（五）净额结算要求的，商业银行可按照以下方法计算违约风险暴露：</w:t>
      </w:r>
    </w:p>
    <w:p w14:paraId="0598BAA3"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）交易对手的净违约风险暴露为当前风险暴露</w:t>
      </w:r>
      <w:r>
        <w:rPr>
          <w:rFonts w:ascii="仿宋_GB2312" w:eastAsia="仿宋_GB2312" w:hAnsi="Times New Roman" w:cs="Times New Roman" w:hint="eastAsia"/>
          <w:bCs/>
          <w:sz w:val="30"/>
          <w:szCs w:val="30"/>
        </w:rPr>
        <w:t>净额与潜在风险暴露净额之和。</w:t>
      </w:r>
    </w:p>
    <w:p w14:paraId="4F3CB4B7"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）当前风险暴露净额为净盯市重置成本与</w:t>
      </w:r>
      <w:r>
        <w:rPr>
          <w:rFonts w:ascii="仿宋_GB2312" w:eastAsia="仿宋_GB2312" w:hAnsi="Times New Roman" w:cs="Times New Roman" w:hint="eastAsia"/>
          <w:bCs/>
          <w:sz w:val="30"/>
          <w:szCs w:val="30"/>
        </w:rPr>
        <w:t>0</w:t>
      </w:r>
      <w:r>
        <w:rPr>
          <w:rFonts w:ascii="仿宋_GB2312" w:eastAsia="仿宋_GB2312" w:hAnsi="Times New Roman" w:cs="Times New Roman" w:hint="eastAsia"/>
          <w:bCs/>
          <w:sz w:val="30"/>
          <w:szCs w:val="30"/>
        </w:rPr>
        <w:t>之间的较大</w:t>
      </w:r>
      <w:r>
        <w:rPr>
          <w:rFonts w:ascii="仿宋_GB2312" w:eastAsia="仿宋_GB2312" w:hAnsi="Times New Roman" w:cs="Times New Roman" w:hint="eastAsia"/>
          <w:bCs/>
          <w:sz w:val="30"/>
          <w:szCs w:val="30"/>
        </w:rPr>
        <w:lastRenderedPageBreak/>
        <w:t>值。</w:t>
      </w:r>
    </w:p>
    <w:p w14:paraId="66ED9E7B"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）潜在风险暴露净额，由下式计算：</w:t>
      </w:r>
    </w:p>
    <w:p w14:paraId="44E5B1E5" w14:textId="77777777" w:rsidR="0056070C" w:rsidRDefault="00BB5E36">
      <w:pPr>
        <w:jc w:val="center"/>
        <w:rPr>
          <w:rFonts w:ascii="仿宋_GB2312" w:eastAsia="仿宋_GB2312" w:hAnsi="Times New Roman" w:cs="Times New Roman"/>
          <w:sz w:val="30"/>
          <w:szCs w:val="30"/>
        </w:rPr>
      </w:pPr>
      <w:r>
        <w:rPr>
          <w:rFonts w:ascii="仿宋_GB2312" w:eastAsia="仿宋_GB2312" w:hAnsi="Times New Roman" w:cs="Times New Roman" w:hint="eastAsia"/>
          <w:noProof/>
          <w:position w:val="-12"/>
          <w:sz w:val="30"/>
          <w:szCs w:val="30"/>
        </w:rPr>
        <w:object w:dxaOrig="3693" w:dyaOrig="373" w14:anchorId="7E064642">
          <v:shape id="_x0000_i1033" type="#_x0000_t75" alt="" style="width:184.85pt;height:18.7pt;mso-width-percent:0;mso-height-percent:0;mso-width-percent:0;mso-height-percent:0" o:ole="">
            <v:imagedata r:id="rId51" o:title=""/>
          </v:shape>
          <o:OLEObject Type="Embed" ProgID="Equation.3" ShapeID="_x0000_i1033" DrawAspect="Content" ObjectID="_1761140351" r:id="rId52"/>
        </w:object>
      </w:r>
    </w:p>
    <w:p w14:paraId="3AE67688"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其中：</w:t>
      </w:r>
    </w:p>
    <w:p w14:paraId="365E1F2A"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noProof/>
          <w:sz w:val="30"/>
          <w:szCs w:val="30"/>
        </w:rPr>
        <w:object w:dxaOrig="560" w:dyaOrig="373" w14:anchorId="26B22237">
          <v:shape id="_x0000_i1032" type="#_x0000_t75" alt="" style="width:27.7pt;height:18.7pt;mso-width-percent:0;mso-height-percent:0;mso-width-percent:0;mso-height-percent:0" o:ole="">
            <v:imagedata r:id="rId53" o:title=""/>
          </v:shape>
          <o:OLEObject Type="Embed" ProgID="Equation.3" ShapeID="_x0000_i1032" DrawAspect="Content" ObjectID="_1761140352" r:id="rId54"/>
        </w:object>
      </w:r>
      <w:r>
        <w:rPr>
          <w:rFonts w:ascii="仿宋_GB2312" w:eastAsia="仿宋_GB2312" w:hAnsi="Times New Roman" w:cs="Times New Roman" w:hint="eastAsia"/>
          <w:bCs/>
          <w:sz w:val="30"/>
          <w:szCs w:val="30"/>
        </w:rPr>
        <w:t>为净额结算协议下对同一交易对手的所有合约的潜在风险暴露之和，等于每笔交易合约本金乘以相应的附加系数的总和，附加系数见本附件表</w:t>
      </w: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和表</w:t>
      </w: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w:t>
      </w:r>
    </w:p>
    <w:p w14:paraId="53DE6D57" w14:textId="77777777" w:rsidR="0056070C" w:rsidRDefault="00BB5E36">
      <w:pPr>
        <w:spacing w:line="480" w:lineRule="exact"/>
        <w:ind w:firstLineChars="200" w:firstLine="600"/>
        <w:rPr>
          <w:rFonts w:ascii="Times New Roman" w:eastAsia="仿宋_GB2312" w:hAnsi="Times New Roman" w:cs="Times New Roman"/>
          <w:bCs/>
          <w:sz w:val="30"/>
          <w:szCs w:val="30"/>
        </w:rPr>
      </w:pPr>
      <w:r>
        <w:rPr>
          <w:rFonts w:ascii="仿宋_GB2312" w:eastAsia="仿宋_GB2312" w:hAnsi="Times New Roman" w:cs="Times New Roman"/>
          <w:bCs/>
          <w:sz w:val="30"/>
          <w:szCs w:val="30"/>
        </w:rPr>
        <w:t>NGR</w:t>
      </w:r>
      <w:r>
        <w:rPr>
          <w:rFonts w:ascii="仿宋_GB2312" w:eastAsia="仿宋_GB2312" w:hAnsi="Times New Roman" w:cs="Times New Roman" w:hint="eastAsia"/>
          <w:bCs/>
          <w:sz w:val="30"/>
          <w:szCs w:val="30"/>
        </w:rPr>
        <w:t>为净额结算协议重置成本净额与重置成本总额的比率。经国家金融监督管理总局或其派出机构认可，</w:t>
      </w:r>
      <w:r>
        <w:rPr>
          <w:rFonts w:ascii="仿宋_GB2312" w:eastAsia="仿宋_GB2312" w:hAnsi="Times New Roman" w:cs="Times New Roman" w:hint="eastAsia"/>
          <w:bCs/>
          <w:sz w:val="30"/>
          <w:szCs w:val="30"/>
        </w:rPr>
        <w:t>N</w:t>
      </w:r>
      <w:r>
        <w:rPr>
          <w:rFonts w:ascii="仿宋_GB2312" w:eastAsia="仿宋_GB2312" w:hAnsi="Times New Roman" w:cs="Times New Roman"/>
          <w:bCs/>
          <w:sz w:val="30"/>
          <w:szCs w:val="30"/>
        </w:rPr>
        <w:t>GR</w:t>
      </w:r>
      <w:r>
        <w:rPr>
          <w:rFonts w:ascii="仿宋_GB2312" w:eastAsia="仿宋_GB2312" w:hAnsi="Times New Roman" w:cs="Times New Roman" w:hint="eastAsia"/>
          <w:bCs/>
          <w:sz w:val="30"/>
          <w:szCs w:val="30"/>
        </w:rPr>
        <w:t>可基于单个交易对手计算。未经国家金融监督管理总局或其派出机构认可，商业银行不得变更计算方法。</w:t>
      </w:r>
    </w:p>
    <w:p w14:paraId="17158FB4" w14:textId="77777777" w:rsidR="0056070C" w:rsidRDefault="00BB5E36">
      <w:pPr>
        <w:pStyle w:val="2"/>
        <w:jc w:val="both"/>
      </w:pPr>
      <w:r>
        <w:t>三、证券融资交易的交易对手违约风险加权资产的计量</w:t>
      </w:r>
    </w:p>
    <w:p w14:paraId="3136B1DA"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bCs/>
          <w:sz w:val="30"/>
          <w:szCs w:val="30"/>
        </w:rPr>
        <w:t>（一）商业银行可采用权重法或内部评级法计量证券融资交易的交易对手违约风险加权资产。</w:t>
      </w:r>
    </w:p>
    <w:p w14:paraId="1A51BA49"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bCs/>
          <w:sz w:val="30"/>
          <w:szCs w:val="30"/>
        </w:rPr>
        <w:t>（二）商业银行采用内部评级法的，按照本办法附件</w:t>
      </w:r>
      <w:r>
        <w:rPr>
          <w:rFonts w:ascii="仿宋_GB2312" w:eastAsia="仿宋_GB2312" w:hAnsi="Times New Roman" w:cs="Times New Roman"/>
          <w:bCs/>
          <w:sz w:val="30"/>
          <w:szCs w:val="30"/>
        </w:rPr>
        <w:t>6</w:t>
      </w:r>
      <w:r>
        <w:rPr>
          <w:rFonts w:ascii="仿宋_GB2312" w:eastAsia="仿宋_GB2312" w:hAnsi="Times New Roman" w:cs="Times New Roman"/>
          <w:bCs/>
          <w:sz w:val="30"/>
          <w:szCs w:val="30"/>
        </w:rPr>
        <w:t>和附件</w:t>
      </w:r>
      <w:r>
        <w:rPr>
          <w:rFonts w:ascii="仿宋_GB2312" w:eastAsia="仿宋_GB2312" w:hAnsi="Times New Roman" w:cs="Times New Roman"/>
          <w:bCs/>
          <w:sz w:val="30"/>
          <w:szCs w:val="30"/>
        </w:rPr>
        <w:t>7</w:t>
      </w:r>
      <w:r>
        <w:rPr>
          <w:rFonts w:ascii="仿宋_GB2312" w:eastAsia="仿宋_GB2312" w:hAnsi="Times New Roman" w:cs="Times New Roman"/>
          <w:bCs/>
          <w:sz w:val="30"/>
          <w:szCs w:val="30"/>
        </w:rPr>
        <w:t>的规定计量银行账簿和交易账簿中的证券融资交易的风险加权资产。</w:t>
      </w:r>
    </w:p>
    <w:p w14:paraId="4C643DF0"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bCs/>
          <w:sz w:val="30"/>
          <w:szCs w:val="30"/>
        </w:rPr>
        <w:t>（三）商业银行采用权重法的，采用以下方法处理</w:t>
      </w:r>
      <w:r>
        <w:rPr>
          <w:rFonts w:ascii="仿宋_GB2312" w:eastAsia="仿宋_GB2312" w:hAnsi="Times New Roman" w:cs="Times New Roman" w:hint="eastAsia"/>
          <w:bCs/>
          <w:sz w:val="30"/>
          <w:szCs w:val="30"/>
        </w:rPr>
        <w:t>：</w:t>
      </w:r>
    </w:p>
    <w:p w14:paraId="3CA8FB9A"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bCs/>
          <w:sz w:val="30"/>
          <w:szCs w:val="30"/>
        </w:rPr>
        <w:t>1</w:t>
      </w:r>
      <w:r>
        <w:rPr>
          <w:rFonts w:ascii="仿宋_GB2312" w:eastAsia="仿宋_GB2312" w:hAnsi="Times New Roman" w:cs="Times New Roman" w:hint="eastAsia"/>
          <w:bCs/>
          <w:sz w:val="30"/>
          <w:szCs w:val="30"/>
        </w:rPr>
        <w:t>.</w:t>
      </w:r>
      <w:r>
        <w:rPr>
          <w:rFonts w:ascii="仿宋_GB2312" w:eastAsia="仿宋_GB2312" w:hAnsi="Times New Roman" w:cs="Times New Roman"/>
          <w:bCs/>
          <w:sz w:val="30"/>
          <w:szCs w:val="30"/>
        </w:rPr>
        <w:t>对于银行账簿中</w:t>
      </w:r>
      <w:r>
        <w:rPr>
          <w:rFonts w:ascii="仿宋_GB2312" w:eastAsia="仿宋_GB2312" w:hAnsi="Times New Roman" w:cs="Times New Roman" w:hint="eastAsia"/>
          <w:bCs/>
          <w:sz w:val="30"/>
          <w:szCs w:val="30"/>
        </w:rPr>
        <w:t>的</w:t>
      </w:r>
      <w:r>
        <w:rPr>
          <w:rFonts w:ascii="仿宋_GB2312" w:eastAsia="仿宋_GB2312" w:hAnsi="Times New Roman" w:cs="Times New Roman"/>
          <w:bCs/>
          <w:sz w:val="30"/>
          <w:szCs w:val="30"/>
        </w:rPr>
        <w:t>证券融资交易，按照本办法正文第八十</w:t>
      </w:r>
      <w:r>
        <w:rPr>
          <w:rFonts w:ascii="仿宋_GB2312" w:eastAsia="仿宋_GB2312" w:hAnsi="Times New Roman" w:cs="Times New Roman" w:hint="eastAsia"/>
          <w:bCs/>
          <w:sz w:val="30"/>
          <w:szCs w:val="30"/>
        </w:rPr>
        <w:t>四</w:t>
      </w:r>
      <w:r>
        <w:rPr>
          <w:rFonts w:ascii="仿宋_GB2312" w:eastAsia="仿宋_GB2312" w:hAnsi="Times New Roman" w:cs="Times New Roman"/>
          <w:bCs/>
          <w:sz w:val="30"/>
          <w:szCs w:val="30"/>
        </w:rPr>
        <w:t>条至第</w:t>
      </w:r>
      <w:r>
        <w:rPr>
          <w:rFonts w:ascii="仿宋_GB2312" w:eastAsia="仿宋_GB2312" w:hAnsi="Times New Roman" w:cs="Times New Roman" w:hint="eastAsia"/>
          <w:bCs/>
          <w:sz w:val="30"/>
          <w:szCs w:val="30"/>
        </w:rPr>
        <w:t>八十七</w:t>
      </w:r>
      <w:r>
        <w:rPr>
          <w:rFonts w:ascii="仿宋_GB2312" w:eastAsia="仿宋_GB2312" w:hAnsi="Times New Roman" w:cs="Times New Roman"/>
          <w:bCs/>
          <w:sz w:val="30"/>
          <w:szCs w:val="30"/>
        </w:rPr>
        <w:t>条、附件</w:t>
      </w:r>
      <w:r>
        <w:rPr>
          <w:rFonts w:ascii="仿宋_GB2312" w:eastAsia="仿宋_GB2312" w:hAnsi="Times New Roman" w:cs="Times New Roman"/>
          <w:bCs/>
          <w:sz w:val="30"/>
          <w:szCs w:val="30"/>
        </w:rPr>
        <w:t>3</w:t>
      </w:r>
      <w:r>
        <w:rPr>
          <w:rFonts w:ascii="仿宋_GB2312" w:eastAsia="仿宋_GB2312" w:hAnsi="Times New Roman" w:cs="Times New Roman"/>
          <w:bCs/>
          <w:sz w:val="30"/>
          <w:szCs w:val="30"/>
        </w:rPr>
        <w:t>的规定计量风险加权资产。</w:t>
      </w:r>
    </w:p>
    <w:p w14:paraId="39C90D80"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bCs/>
          <w:sz w:val="30"/>
          <w:szCs w:val="30"/>
        </w:rPr>
        <w:t>2</w:t>
      </w:r>
      <w:r>
        <w:rPr>
          <w:rFonts w:ascii="仿宋_GB2312" w:eastAsia="仿宋_GB2312" w:hAnsi="Times New Roman" w:cs="Times New Roman" w:hint="eastAsia"/>
          <w:bCs/>
          <w:sz w:val="30"/>
          <w:szCs w:val="30"/>
        </w:rPr>
        <w:t>.</w:t>
      </w:r>
      <w:r>
        <w:rPr>
          <w:rFonts w:ascii="仿宋_GB2312" w:eastAsia="仿宋_GB2312" w:hAnsi="Times New Roman" w:cs="Times New Roman"/>
          <w:bCs/>
          <w:sz w:val="30"/>
          <w:szCs w:val="30"/>
        </w:rPr>
        <w:t>对于交易账簿中的证券融资交易，交易对手信用风险加权资产为证券融资交易风险缓释后风险暴露乘以本办</w:t>
      </w:r>
      <w:r>
        <w:rPr>
          <w:rFonts w:ascii="仿宋_GB2312" w:eastAsia="仿宋_GB2312" w:hAnsi="Times New Roman" w:cs="Times New Roman" w:hint="eastAsia"/>
          <w:bCs/>
          <w:sz w:val="30"/>
          <w:szCs w:val="30"/>
        </w:rPr>
        <w:t>法</w:t>
      </w:r>
      <w:r>
        <w:rPr>
          <w:rFonts w:ascii="仿宋_GB2312" w:eastAsia="仿宋_GB2312" w:hAnsi="Times New Roman" w:cs="Times New Roman"/>
          <w:bCs/>
          <w:sz w:val="30"/>
          <w:szCs w:val="30"/>
        </w:rPr>
        <w:t>附件</w:t>
      </w:r>
      <w:r>
        <w:rPr>
          <w:rFonts w:ascii="仿宋_GB2312" w:eastAsia="仿宋_GB2312" w:hAnsi="Times New Roman" w:cs="Times New Roman"/>
          <w:bCs/>
          <w:sz w:val="30"/>
          <w:szCs w:val="30"/>
        </w:rPr>
        <w:t>3</w:t>
      </w:r>
      <w:r>
        <w:rPr>
          <w:rFonts w:ascii="仿宋_GB2312" w:eastAsia="仿宋_GB2312" w:hAnsi="Times New Roman" w:cs="Times New Roman"/>
          <w:bCs/>
          <w:sz w:val="30"/>
          <w:szCs w:val="30"/>
        </w:rPr>
        <w:t>规定的交易对手的风险权重。</w:t>
      </w:r>
    </w:p>
    <w:p w14:paraId="7117B712"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bCs/>
          <w:sz w:val="30"/>
          <w:szCs w:val="30"/>
        </w:rPr>
        <w:t>3</w:t>
      </w:r>
      <w:r>
        <w:rPr>
          <w:rFonts w:ascii="仿宋_GB2312" w:eastAsia="仿宋_GB2312" w:hAnsi="Times New Roman" w:cs="Times New Roman" w:hint="eastAsia"/>
          <w:bCs/>
          <w:sz w:val="30"/>
          <w:szCs w:val="30"/>
        </w:rPr>
        <w:t>.</w:t>
      </w:r>
      <w:r>
        <w:rPr>
          <w:rFonts w:ascii="仿宋_GB2312" w:eastAsia="仿宋_GB2312" w:hAnsi="Times New Roman" w:cs="Times New Roman"/>
          <w:bCs/>
          <w:sz w:val="30"/>
          <w:szCs w:val="30"/>
        </w:rPr>
        <w:t>证券融资交易风险缓释后风险暴露按照以下公式计量：</w:t>
      </w:r>
    </w:p>
    <w:p w14:paraId="35D729FF" w14:textId="77777777" w:rsidR="0056070C" w:rsidRDefault="00BB5E36">
      <w:pPr>
        <w:ind w:firstLineChars="200" w:firstLine="420"/>
        <w:jc w:val="center"/>
      </w:pPr>
      <w:r>
        <w:rPr>
          <w:noProof/>
        </w:rPr>
        <w:object w:dxaOrig="4693" w:dyaOrig="400" w14:anchorId="54C387A5">
          <v:shape id="_x0000_i1031" type="#_x0000_t75" alt="" style="width:234.7pt;height:20.1pt;mso-width-percent:0;mso-height-percent:0;mso-width-percent:0;mso-height-percent:0" o:ole="">
            <v:imagedata r:id="rId55" o:title=""/>
          </v:shape>
          <o:OLEObject Type="Embed" ProgID="Equation.3" ShapeID="_x0000_i1031" DrawAspect="Content" ObjectID="_1761140353" r:id="rId56"/>
        </w:object>
      </w:r>
    </w:p>
    <w:p w14:paraId="1A72EA3D"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bCs/>
          <w:sz w:val="30"/>
          <w:szCs w:val="30"/>
        </w:rPr>
        <w:t>其中：</w:t>
      </w:r>
    </w:p>
    <w:p w14:paraId="4590EE64"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bCs/>
          <w:noProof/>
          <w:sz w:val="30"/>
          <w:szCs w:val="30"/>
        </w:rPr>
        <w:object w:dxaOrig="240" w:dyaOrig="253" w14:anchorId="2BF01A8C">
          <v:shape id="_x0000_i1030" type="#_x0000_t75" alt="" style="width:11.75pt;height:12.45pt;mso-width-percent:0;mso-height-percent:0;mso-width-percent:0;mso-height-percent:0" o:ole="">
            <v:imagedata r:id="rId57" o:title=""/>
          </v:shape>
          <o:OLEObject Type="Embed" ProgID="Equation.DSMT4" ShapeID="_x0000_i1030" DrawAspect="Content" ObjectID="_1761140354" r:id="rId58"/>
        </w:object>
      </w:r>
      <w:r>
        <w:rPr>
          <w:rFonts w:ascii="仿宋_GB2312" w:eastAsia="仿宋_GB2312" w:hAnsi="Times New Roman" w:cs="Times New Roman"/>
          <w:bCs/>
          <w:sz w:val="30"/>
          <w:szCs w:val="30"/>
        </w:rPr>
        <w:t>为证券融资交易风险缓释前风险暴露</w:t>
      </w:r>
      <w:r>
        <w:rPr>
          <w:rFonts w:ascii="仿宋_GB2312" w:eastAsia="仿宋_GB2312" w:hAnsi="Times New Roman" w:cs="Times New Roman" w:hint="eastAsia"/>
          <w:bCs/>
          <w:sz w:val="30"/>
          <w:szCs w:val="30"/>
        </w:rPr>
        <w:t>。</w:t>
      </w:r>
    </w:p>
    <w:p w14:paraId="64165010"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bCs/>
          <w:noProof/>
          <w:sz w:val="30"/>
          <w:szCs w:val="30"/>
        </w:rPr>
        <w:object w:dxaOrig="347" w:dyaOrig="320" w14:anchorId="219DB55C">
          <v:shape id="_x0000_i1029" type="#_x0000_t75" alt="" style="width:17.3pt;height:15.9pt;mso-width-percent:0;mso-height-percent:0;mso-width-percent:0;mso-height-percent:0" o:ole="">
            <v:imagedata r:id="rId59" o:title=""/>
          </v:shape>
          <o:OLEObject Type="Embed" ProgID="Equation.3" ShapeID="_x0000_i1029" DrawAspect="Content" ObjectID="_1761140355" r:id="rId60"/>
        </w:object>
      </w:r>
      <w:r>
        <w:rPr>
          <w:rFonts w:ascii="仿宋_GB2312" w:eastAsia="仿宋_GB2312" w:hAnsi="Times New Roman" w:cs="Times New Roman"/>
          <w:bCs/>
          <w:sz w:val="30"/>
          <w:szCs w:val="30"/>
        </w:rPr>
        <w:t>为证券融资交易风险缓释后风险暴露</w:t>
      </w:r>
      <w:r>
        <w:rPr>
          <w:rFonts w:ascii="仿宋_GB2312" w:eastAsia="仿宋_GB2312" w:hAnsi="Times New Roman" w:cs="Times New Roman" w:hint="eastAsia"/>
          <w:bCs/>
          <w:sz w:val="30"/>
          <w:szCs w:val="30"/>
        </w:rPr>
        <w:t>。</w:t>
      </w:r>
    </w:p>
    <w:p w14:paraId="470A5891"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bCs/>
          <w:noProof/>
          <w:sz w:val="30"/>
          <w:szCs w:val="30"/>
        </w:rPr>
        <w:object w:dxaOrig="320" w:dyaOrig="373" w14:anchorId="45227EC1">
          <v:shape id="_x0000_i1028" type="#_x0000_t75" alt="" style="width:15.9pt;height:18.7pt;mso-width-percent:0;mso-height-percent:0;mso-width-percent:0;mso-height-percent:0" o:ole="">
            <v:imagedata r:id="rId61" o:title=""/>
          </v:shape>
          <o:OLEObject Type="Embed" ProgID="Equation.3" ShapeID="_x0000_i1028" DrawAspect="Content" ObjectID="_1761140356" r:id="rId62"/>
        </w:object>
      </w:r>
      <w:r>
        <w:rPr>
          <w:rFonts w:ascii="仿宋_GB2312" w:eastAsia="仿宋_GB2312" w:hAnsi="Times New Roman" w:cs="Times New Roman"/>
          <w:bCs/>
          <w:sz w:val="30"/>
          <w:szCs w:val="30"/>
        </w:rPr>
        <w:t>为风险暴露的折扣系数</w:t>
      </w:r>
      <w:r>
        <w:rPr>
          <w:rFonts w:ascii="仿宋_GB2312" w:eastAsia="仿宋_GB2312" w:hAnsi="Times New Roman" w:cs="Times New Roman" w:hint="eastAsia"/>
          <w:bCs/>
          <w:sz w:val="30"/>
          <w:szCs w:val="30"/>
        </w:rPr>
        <w:t>。</w:t>
      </w:r>
    </w:p>
    <w:p w14:paraId="72F49BF2"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bCs/>
          <w:noProof/>
          <w:sz w:val="30"/>
          <w:szCs w:val="30"/>
        </w:rPr>
        <w:object w:dxaOrig="240" w:dyaOrig="253" w14:anchorId="6F0FD1CA">
          <v:shape id="_x0000_i1027" type="#_x0000_t75" alt="" style="width:11.75pt;height:12.45pt;mso-width-percent:0;mso-height-percent:0;mso-width-percent:0;mso-height-percent:0" o:ole="">
            <v:imagedata r:id="rId63" o:title=""/>
          </v:shape>
          <o:OLEObject Type="Embed" ProgID="Equation.3" ShapeID="_x0000_i1027" DrawAspect="Content" ObjectID="_1761140357" r:id="rId64"/>
        </w:object>
      </w:r>
      <w:r>
        <w:rPr>
          <w:rFonts w:ascii="仿宋_GB2312" w:eastAsia="仿宋_GB2312" w:hAnsi="Times New Roman" w:cs="Times New Roman"/>
          <w:bCs/>
          <w:sz w:val="30"/>
          <w:szCs w:val="30"/>
        </w:rPr>
        <w:t>为金融质押品的当前价值</w:t>
      </w:r>
      <w:r>
        <w:rPr>
          <w:rFonts w:ascii="仿宋_GB2312" w:eastAsia="仿宋_GB2312" w:hAnsi="Times New Roman" w:cs="Times New Roman" w:hint="eastAsia"/>
          <w:bCs/>
          <w:sz w:val="30"/>
          <w:szCs w:val="30"/>
        </w:rPr>
        <w:t>。</w:t>
      </w:r>
    </w:p>
    <w:p w14:paraId="2D0F9AFC"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bCs/>
          <w:noProof/>
          <w:sz w:val="30"/>
          <w:szCs w:val="30"/>
        </w:rPr>
        <w:object w:dxaOrig="373" w:dyaOrig="373" w14:anchorId="36612FC6">
          <v:shape id="_x0000_i1026" type="#_x0000_t75" alt="" style="width:18.7pt;height:18.7pt;mso-width-percent:0;mso-height-percent:0;mso-width-percent:0;mso-height-percent:0" o:ole="">
            <v:imagedata r:id="rId65" o:title=""/>
          </v:shape>
          <o:OLEObject Type="Embed" ProgID="Equation.3" ShapeID="_x0000_i1026" DrawAspect="Content" ObjectID="_1761140358" r:id="rId66"/>
        </w:object>
      </w:r>
      <w:r>
        <w:rPr>
          <w:rFonts w:ascii="仿宋_GB2312" w:eastAsia="仿宋_GB2312" w:hAnsi="Times New Roman" w:cs="Times New Roman"/>
          <w:bCs/>
          <w:sz w:val="30"/>
          <w:szCs w:val="30"/>
        </w:rPr>
        <w:t>为金融质押品的折扣系数</w:t>
      </w:r>
      <w:r>
        <w:rPr>
          <w:rFonts w:ascii="仿宋_GB2312" w:eastAsia="仿宋_GB2312" w:hAnsi="Times New Roman" w:cs="Times New Roman" w:hint="eastAsia"/>
          <w:bCs/>
          <w:sz w:val="30"/>
          <w:szCs w:val="30"/>
        </w:rPr>
        <w:t>。</w:t>
      </w:r>
    </w:p>
    <w:p w14:paraId="4AB989FE"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bCs/>
          <w:noProof/>
          <w:sz w:val="30"/>
          <w:szCs w:val="30"/>
        </w:rPr>
        <w:object w:dxaOrig="440" w:dyaOrig="400" w14:anchorId="4B337C8F">
          <v:shape id="_x0000_i1025" type="#_x0000_t75" alt="" style="width:22.15pt;height:20.1pt;mso-width-percent:0;mso-height-percent:0;mso-width-percent:0;mso-height-percent:0" o:ole="">
            <v:imagedata r:id="rId67" o:title=""/>
          </v:shape>
          <o:OLEObject Type="Embed" ProgID="Equation.3" ShapeID="_x0000_i1025" DrawAspect="Content" ObjectID="_1761140359" r:id="rId68"/>
        </w:object>
      </w:r>
      <w:r>
        <w:rPr>
          <w:rFonts w:ascii="仿宋_GB2312" w:eastAsia="仿宋_GB2312" w:hAnsi="Times New Roman" w:cs="Times New Roman"/>
          <w:bCs/>
          <w:sz w:val="30"/>
          <w:szCs w:val="30"/>
        </w:rPr>
        <w:t>为处理金融质押品和风险暴露币种错配的折扣系数。</w:t>
      </w:r>
    </w:p>
    <w:p w14:paraId="4AEFA3F3"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合格金融质押品</w:t>
      </w:r>
      <w:r>
        <w:rPr>
          <w:rFonts w:ascii="仿宋_GB2312" w:eastAsia="仿宋_GB2312" w:hAnsi="Times New Roman" w:cs="Times New Roman"/>
          <w:bCs/>
          <w:sz w:val="30"/>
          <w:szCs w:val="30"/>
        </w:rPr>
        <w:t>的种类和以上参数分别见本办法附件</w:t>
      </w:r>
      <w:r>
        <w:rPr>
          <w:rFonts w:ascii="仿宋_GB2312" w:eastAsia="仿宋_GB2312" w:hAnsi="Times New Roman" w:cs="Times New Roman"/>
          <w:bCs/>
          <w:sz w:val="30"/>
          <w:szCs w:val="30"/>
        </w:rPr>
        <w:t>7</w:t>
      </w:r>
      <w:r>
        <w:rPr>
          <w:rFonts w:ascii="仿宋_GB2312" w:eastAsia="仿宋_GB2312" w:hAnsi="Times New Roman" w:cs="Times New Roman" w:hint="eastAsia"/>
          <w:bCs/>
          <w:sz w:val="30"/>
          <w:szCs w:val="30"/>
        </w:rPr>
        <w:t>第二、第</w:t>
      </w:r>
      <w:r>
        <w:rPr>
          <w:rFonts w:ascii="仿宋_GB2312" w:eastAsia="仿宋_GB2312" w:hAnsi="Times New Roman" w:cs="Times New Roman"/>
          <w:bCs/>
          <w:sz w:val="30"/>
          <w:szCs w:val="30"/>
        </w:rPr>
        <w:t>六</w:t>
      </w:r>
      <w:r>
        <w:rPr>
          <w:rFonts w:ascii="仿宋_GB2312" w:eastAsia="仿宋_GB2312" w:hAnsi="Times New Roman" w:cs="Times New Roman" w:hint="eastAsia"/>
          <w:bCs/>
          <w:sz w:val="30"/>
          <w:szCs w:val="30"/>
        </w:rPr>
        <w:t>、第</w:t>
      </w:r>
      <w:r>
        <w:rPr>
          <w:rFonts w:ascii="仿宋_GB2312" w:eastAsia="仿宋_GB2312" w:hAnsi="Times New Roman" w:cs="Times New Roman"/>
          <w:bCs/>
          <w:sz w:val="30"/>
          <w:szCs w:val="30"/>
        </w:rPr>
        <w:t>七</w:t>
      </w:r>
      <w:r>
        <w:rPr>
          <w:rFonts w:ascii="仿宋_GB2312" w:eastAsia="仿宋_GB2312" w:hAnsi="Times New Roman" w:cs="Times New Roman" w:hint="eastAsia"/>
          <w:bCs/>
          <w:sz w:val="30"/>
          <w:szCs w:val="30"/>
        </w:rPr>
        <w:t>和第八部分</w:t>
      </w:r>
      <w:r>
        <w:rPr>
          <w:rFonts w:ascii="仿宋_GB2312" w:eastAsia="仿宋_GB2312" w:hAnsi="Times New Roman" w:cs="Times New Roman"/>
          <w:bCs/>
          <w:sz w:val="30"/>
          <w:szCs w:val="30"/>
        </w:rPr>
        <w:t>。</w:t>
      </w:r>
    </w:p>
    <w:p w14:paraId="66717079" w14:textId="77777777" w:rsidR="0056070C" w:rsidRDefault="00BB5E36">
      <w:pPr>
        <w:spacing w:line="48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bCs/>
          <w:sz w:val="30"/>
          <w:szCs w:val="30"/>
        </w:rPr>
        <w:t>4</w:t>
      </w:r>
      <w:r>
        <w:rPr>
          <w:rFonts w:ascii="仿宋_GB2312" w:eastAsia="仿宋_GB2312" w:hAnsi="Times New Roman" w:cs="Times New Roman" w:hint="eastAsia"/>
          <w:bCs/>
          <w:sz w:val="30"/>
          <w:szCs w:val="30"/>
        </w:rPr>
        <w:t>.</w:t>
      </w:r>
      <w:r>
        <w:rPr>
          <w:rFonts w:ascii="仿宋_GB2312" w:eastAsia="仿宋_GB2312" w:hAnsi="Times New Roman" w:cs="Times New Roman"/>
          <w:bCs/>
          <w:sz w:val="30"/>
          <w:szCs w:val="30"/>
        </w:rPr>
        <w:t>交易账簿中证券融资交易符合净额结算要求</w:t>
      </w:r>
      <w:r>
        <w:rPr>
          <w:rFonts w:ascii="仿宋_GB2312" w:eastAsia="仿宋_GB2312" w:hAnsi="Times New Roman" w:cs="Times New Roman" w:hint="eastAsia"/>
          <w:bCs/>
          <w:sz w:val="30"/>
          <w:szCs w:val="30"/>
        </w:rPr>
        <w:t>的</w:t>
      </w:r>
      <w:r>
        <w:rPr>
          <w:rFonts w:ascii="仿宋_GB2312" w:eastAsia="仿宋_GB2312" w:hAnsi="Times New Roman" w:cs="Times New Roman"/>
          <w:bCs/>
          <w:sz w:val="30"/>
          <w:szCs w:val="30"/>
        </w:rPr>
        <w:t>，商业银行可按照本办法附件</w:t>
      </w:r>
      <w:r>
        <w:rPr>
          <w:rFonts w:ascii="仿宋_GB2312" w:eastAsia="仿宋_GB2312" w:hAnsi="Times New Roman" w:cs="Times New Roman"/>
          <w:bCs/>
          <w:sz w:val="30"/>
          <w:szCs w:val="30"/>
        </w:rPr>
        <w:t>7</w:t>
      </w:r>
      <w:r>
        <w:rPr>
          <w:rFonts w:ascii="仿宋_GB2312" w:eastAsia="仿宋_GB2312" w:hAnsi="Times New Roman" w:cs="Times New Roman" w:hint="eastAsia"/>
          <w:bCs/>
          <w:sz w:val="30"/>
          <w:szCs w:val="30"/>
        </w:rPr>
        <w:t>第三部分（六）</w:t>
      </w:r>
      <w:r>
        <w:rPr>
          <w:rFonts w:ascii="仿宋_GB2312" w:eastAsia="仿宋_GB2312" w:hAnsi="Times New Roman" w:cs="Times New Roman"/>
          <w:bCs/>
          <w:sz w:val="30"/>
          <w:szCs w:val="30"/>
        </w:rPr>
        <w:t>的相关规定计量证券融资交易的违约风险暴露。</w:t>
      </w:r>
    </w:p>
    <w:p w14:paraId="28F4D1F0" w14:textId="77777777" w:rsidR="0056070C" w:rsidRDefault="0056070C">
      <w:pPr>
        <w:rPr>
          <w:rFonts w:ascii="Times New Roman" w:eastAsia="黑体" w:hAnsi="Times New Roman" w:cs="Times New Roman"/>
          <w:b/>
          <w:sz w:val="36"/>
          <w:szCs w:val="36"/>
        </w:rPr>
      </w:pPr>
    </w:p>
    <w:sectPr w:rsidR="0056070C">
      <w:footerReference w:type="default" r:id="rId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2162D" w14:textId="77777777" w:rsidR="00BB5E36" w:rsidRDefault="00BB5E36">
      <w:r>
        <w:separator/>
      </w:r>
    </w:p>
  </w:endnote>
  <w:endnote w:type="continuationSeparator" w:id="0">
    <w:p w14:paraId="3FCAF834" w14:textId="77777777" w:rsidR="00BB5E36" w:rsidRDefault="00BB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B0604020202020204"/>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20B0604020202020204"/>
    <w:charset w:val="86"/>
    <w:family w:val="modern"/>
    <w:pitch w:val="fixed"/>
    <w:sig w:usb0="00000001" w:usb1="080E0000" w:usb2="00000010" w:usb3="00000000" w:csb0="00040001" w:csb1="00000000"/>
  </w:font>
  <w:font w:name="方正小标宋简体">
    <w:panose1 w:val="02010601030101010101"/>
    <w:charset w:val="86"/>
    <w:family w:val="auto"/>
    <w:pitch w:val="variable"/>
    <w:sig w:usb0="00000001" w:usb1="080E0000" w:usb2="00000010"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EndPr>
      <w:rPr>
        <w:rFonts w:ascii="宋体" w:eastAsia="宋体" w:hAnsi="宋体"/>
        <w:sz w:val="21"/>
        <w:szCs w:val="21"/>
      </w:rPr>
    </w:sdtEndPr>
    <w:sdtContent>
      <w:p w14:paraId="05566BF2" w14:textId="77777777" w:rsidR="0056070C" w:rsidRDefault="00BB5E36">
        <w:pPr>
          <w:pStyle w:val="a9"/>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36FB" w14:textId="77777777" w:rsidR="00BB5E36" w:rsidRDefault="00BB5E36">
      <w:r>
        <w:separator/>
      </w:r>
    </w:p>
  </w:footnote>
  <w:footnote w:type="continuationSeparator" w:id="0">
    <w:p w14:paraId="1F1493C5" w14:textId="77777777" w:rsidR="00BB5E36" w:rsidRDefault="00BB5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Q4ODRiYzc2Y2I3NTRhOGM2MmIzZmJhODU1ZTk0ZmMifQ=="/>
  </w:docVars>
  <w:rsids>
    <w:rsidRoot w:val="00EB7852"/>
    <w:rsid w:val="BF4F4570"/>
    <w:rsid w:val="CECD519E"/>
    <w:rsid w:val="D4FDF8B2"/>
    <w:rsid w:val="E94786E6"/>
    <w:rsid w:val="F3F685DB"/>
    <w:rsid w:val="F6FF7FA9"/>
    <w:rsid w:val="FF7F0550"/>
    <w:rsid w:val="00021EF7"/>
    <w:rsid w:val="0002203A"/>
    <w:rsid w:val="00022224"/>
    <w:rsid w:val="00033E26"/>
    <w:rsid w:val="000341A8"/>
    <w:rsid w:val="00067E72"/>
    <w:rsid w:val="00067F35"/>
    <w:rsid w:val="00070443"/>
    <w:rsid w:val="00071F10"/>
    <w:rsid w:val="000913F8"/>
    <w:rsid w:val="000C162D"/>
    <w:rsid w:val="000C5B15"/>
    <w:rsid w:val="000D05E6"/>
    <w:rsid w:val="000D7B6B"/>
    <w:rsid w:val="000E21AE"/>
    <w:rsid w:val="000E3DF1"/>
    <w:rsid w:val="000E667B"/>
    <w:rsid w:val="0010593F"/>
    <w:rsid w:val="0011319D"/>
    <w:rsid w:val="00116583"/>
    <w:rsid w:val="00130101"/>
    <w:rsid w:val="00130F59"/>
    <w:rsid w:val="00131DE9"/>
    <w:rsid w:val="00132246"/>
    <w:rsid w:val="001415C5"/>
    <w:rsid w:val="0014457A"/>
    <w:rsid w:val="0016174F"/>
    <w:rsid w:val="00161C88"/>
    <w:rsid w:val="00162EFB"/>
    <w:rsid w:val="00172233"/>
    <w:rsid w:val="00190BF1"/>
    <w:rsid w:val="00193D6B"/>
    <w:rsid w:val="00196AA7"/>
    <w:rsid w:val="001A13FA"/>
    <w:rsid w:val="001A3B4D"/>
    <w:rsid w:val="001A50C4"/>
    <w:rsid w:val="001A698A"/>
    <w:rsid w:val="001B2C34"/>
    <w:rsid w:val="001B59A2"/>
    <w:rsid w:val="001B76B8"/>
    <w:rsid w:val="001B7901"/>
    <w:rsid w:val="001C1625"/>
    <w:rsid w:val="001C26AC"/>
    <w:rsid w:val="001C5753"/>
    <w:rsid w:val="001D6035"/>
    <w:rsid w:val="001D715D"/>
    <w:rsid w:val="001E1DDD"/>
    <w:rsid w:val="001E54CC"/>
    <w:rsid w:val="001F253E"/>
    <w:rsid w:val="002039D7"/>
    <w:rsid w:val="00212A2C"/>
    <w:rsid w:val="00214C9C"/>
    <w:rsid w:val="00217D76"/>
    <w:rsid w:val="00222AD1"/>
    <w:rsid w:val="00235834"/>
    <w:rsid w:val="0024462A"/>
    <w:rsid w:val="00251B86"/>
    <w:rsid w:val="00255DC9"/>
    <w:rsid w:val="002705C2"/>
    <w:rsid w:val="00273420"/>
    <w:rsid w:val="00281143"/>
    <w:rsid w:val="002938E8"/>
    <w:rsid w:val="002A0A2B"/>
    <w:rsid w:val="002A2903"/>
    <w:rsid w:val="002B2123"/>
    <w:rsid w:val="002B3886"/>
    <w:rsid w:val="002C2B43"/>
    <w:rsid w:val="002C50B6"/>
    <w:rsid w:val="002C7BE5"/>
    <w:rsid w:val="002D2264"/>
    <w:rsid w:val="002E1AA0"/>
    <w:rsid w:val="002E5D89"/>
    <w:rsid w:val="00301EA6"/>
    <w:rsid w:val="00304D70"/>
    <w:rsid w:val="0031418F"/>
    <w:rsid w:val="00315B5C"/>
    <w:rsid w:val="0031773E"/>
    <w:rsid w:val="00324D32"/>
    <w:rsid w:val="00332BEA"/>
    <w:rsid w:val="00332CE9"/>
    <w:rsid w:val="00332FDA"/>
    <w:rsid w:val="00340116"/>
    <w:rsid w:val="00340FB3"/>
    <w:rsid w:val="0034514D"/>
    <w:rsid w:val="0035333E"/>
    <w:rsid w:val="00353868"/>
    <w:rsid w:val="00354C01"/>
    <w:rsid w:val="00356226"/>
    <w:rsid w:val="00365239"/>
    <w:rsid w:val="003660F8"/>
    <w:rsid w:val="0037237D"/>
    <w:rsid w:val="0038008C"/>
    <w:rsid w:val="003867D5"/>
    <w:rsid w:val="003910DD"/>
    <w:rsid w:val="0039753A"/>
    <w:rsid w:val="003978BF"/>
    <w:rsid w:val="003A3494"/>
    <w:rsid w:val="003A3BF2"/>
    <w:rsid w:val="003B59EC"/>
    <w:rsid w:val="003C3FDB"/>
    <w:rsid w:val="003C4A54"/>
    <w:rsid w:val="003C4C2C"/>
    <w:rsid w:val="003D0C6A"/>
    <w:rsid w:val="003D0D4F"/>
    <w:rsid w:val="003D4027"/>
    <w:rsid w:val="003E493F"/>
    <w:rsid w:val="003E513E"/>
    <w:rsid w:val="003F64F2"/>
    <w:rsid w:val="00407053"/>
    <w:rsid w:val="00415727"/>
    <w:rsid w:val="00426D00"/>
    <w:rsid w:val="00427CA4"/>
    <w:rsid w:val="00431450"/>
    <w:rsid w:val="004321C6"/>
    <w:rsid w:val="00432A26"/>
    <w:rsid w:val="0043763E"/>
    <w:rsid w:val="00456E5A"/>
    <w:rsid w:val="004675A7"/>
    <w:rsid w:val="00475807"/>
    <w:rsid w:val="00480DB1"/>
    <w:rsid w:val="00492112"/>
    <w:rsid w:val="00492F62"/>
    <w:rsid w:val="004948CD"/>
    <w:rsid w:val="0049726E"/>
    <w:rsid w:val="004A7413"/>
    <w:rsid w:val="004B3AF4"/>
    <w:rsid w:val="004C0510"/>
    <w:rsid w:val="004D072E"/>
    <w:rsid w:val="004D4BAA"/>
    <w:rsid w:val="004F00C4"/>
    <w:rsid w:val="0050019B"/>
    <w:rsid w:val="005001A7"/>
    <w:rsid w:val="0050410F"/>
    <w:rsid w:val="0050653B"/>
    <w:rsid w:val="00507EFA"/>
    <w:rsid w:val="00512BEC"/>
    <w:rsid w:val="00525017"/>
    <w:rsid w:val="00535A84"/>
    <w:rsid w:val="005565D2"/>
    <w:rsid w:val="00556CF8"/>
    <w:rsid w:val="0056070C"/>
    <w:rsid w:val="005608DD"/>
    <w:rsid w:val="00564E12"/>
    <w:rsid w:val="00564E3F"/>
    <w:rsid w:val="005651B0"/>
    <w:rsid w:val="00573459"/>
    <w:rsid w:val="0058465E"/>
    <w:rsid w:val="00586604"/>
    <w:rsid w:val="00586776"/>
    <w:rsid w:val="00590BC8"/>
    <w:rsid w:val="0059135A"/>
    <w:rsid w:val="00593F87"/>
    <w:rsid w:val="005A0252"/>
    <w:rsid w:val="005A1D30"/>
    <w:rsid w:val="005A49BA"/>
    <w:rsid w:val="005A4A98"/>
    <w:rsid w:val="005A79E8"/>
    <w:rsid w:val="005B1E63"/>
    <w:rsid w:val="005B5761"/>
    <w:rsid w:val="005B7345"/>
    <w:rsid w:val="005C0F20"/>
    <w:rsid w:val="005C2534"/>
    <w:rsid w:val="005C5AD9"/>
    <w:rsid w:val="005D7690"/>
    <w:rsid w:val="005E0000"/>
    <w:rsid w:val="005E64CD"/>
    <w:rsid w:val="005F68FF"/>
    <w:rsid w:val="006015AB"/>
    <w:rsid w:val="0063302B"/>
    <w:rsid w:val="00635435"/>
    <w:rsid w:val="00647E79"/>
    <w:rsid w:val="00650738"/>
    <w:rsid w:val="00661F6F"/>
    <w:rsid w:val="00665BB6"/>
    <w:rsid w:val="00672DE6"/>
    <w:rsid w:val="00673E6F"/>
    <w:rsid w:val="00685473"/>
    <w:rsid w:val="006A19D7"/>
    <w:rsid w:val="006C0FD3"/>
    <w:rsid w:val="006C11FF"/>
    <w:rsid w:val="006E4F37"/>
    <w:rsid w:val="007012BF"/>
    <w:rsid w:val="0070130C"/>
    <w:rsid w:val="007074E9"/>
    <w:rsid w:val="007078A0"/>
    <w:rsid w:val="0070792A"/>
    <w:rsid w:val="00707C94"/>
    <w:rsid w:val="007140A5"/>
    <w:rsid w:val="0071421F"/>
    <w:rsid w:val="00727AFD"/>
    <w:rsid w:val="007357F6"/>
    <w:rsid w:val="007505F7"/>
    <w:rsid w:val="00755687"/>
    <w:rsid w:val="007579CB"/>
    <w:rsid w:val="00770437"/>
    <w:rsid w:val="00774A18"/>
    <w:rsid w:val="00783DA7"/>
    <w:rsid w:val="0078557B"/>
    <w:rsid w:val="00793352"/>
    <w:rsid w:val="00797720"/>
    <w:rsid w:val="007A2BA9"/>
    <w:rsid w:val="007A4DC1"/>
    <w:rsid w:val="007B1C3D"/>
    <w:rsid w:val="007B7F31"/>
    <w:rsid w:val="007C35CD"/>
    <w:rsid w:val="007C7FC6"/>
    <w:rsid w:val="007D174B"/>
    <w:rsid w:val="007D2EEE"/>
    <w:rsid w:val="007D513A"/>
    <w:rsid w:val="007E1A3D"/>
    <w:rsid w:val="007F19AC"/>
    <w:rsid w:val="007F369E"/>
    <w:rsid w:val="00803C9C"/>
    <w:rsid w:val="008055BC"/>
    <w:rsid w:val="00812132"/>
    <w:rsid w:val="0082222D"/>
    <w:rsid w:val="00822E70"/>
    <w:rsid w:val="00843D9E"/>
    <w:rsid w:val="00845294"/>
    <w:rsid w:val="008578B2"/>
    <w:rsid w:val="00861C2C"/>
    <w:rsid w:val="0086232E"/>
    <w:rsid w:val="008653F6"/>
    <w:rsid w:val="00865F6A"/>
    <w:rsid w:val="008660CB"/>
    <w:rsid w:val="00871FCE"/>
    <w:rsid w:val="00880BD7"/>
    <w:rsid w:val="008850AE"/>
    <w:rsid w:val="0089025B"/>
    <w:rsid w:val="00896671"/>
    <w:rsid w:val="008A6534"/>
    <w:rsid w:val="008A6F33"/>
    <w:rsid w:val="008B10AD"/>
    <w:rsid w:val="008B6A90"/>
    <w:rsid w:val="008B752F"/>
    <w:rsid w:val="008C4E61"/>
    <w:rsid w:val="008C4F3C"/>
    <w:rsid w:val="008C6919"/>
    <w:rsid w:val="008D1B1D"/>
    <w:rsid w:val="008D5C5C"/>
    <w:rsid w:val="008D6C4F"/>
    <w:rsid w:val="008E064D"/>
    <w:rsid w:val="008E5A0A"/>
    <w:rsid w:val="008E6AA2"/>
    <w:rsid w:val="008E6FD4"/>
    <w:rsid w:val="00907A7E"/>
    <w:rsid w:val="00916076"/>
    <w:rsid w:val="00931D99"/>
    <w:rsid w:val="009327DC"/>
    <w:rsid w:val="009339AC"/>
    <w:rsid w:val="00947CBB"/>
    <w:rsid w:val="00951F1D"/>
    <w:rsid w:val="009668C9"/>
    <w:rsid w:val="009856C1"/>
    <w:rsid w:val="00991047"/>
    <w:rsid w:val="00991BBC"/>
    <w:rsid w:val="00994A57"/>
    <w:rsid w:val="009A7080"/>
    <w:rsid w:val="009B34E0"/>
    <w:rsid w:val="009B398C"/>
    <w:rsid w:val="009C10C1"/>
    <w:rsid w:val="009C5A36"/>
    <w:rsid w:val="009D1484"/>
    <w:rsid w:val="009D1F39"/>
    <w:rsid w:val="009E13AC"/>
    <w:rsid w:val="009E18FD"/>
    <w:rsid w:val="009E54A2"/>
    <w:rsid w:val="00A01349"/>
    <w:rsid w:val="00A01EBA"/>
    <w:rsid w:val="00A128F3"/>
    <w:rsid w:val="00A277E8"/>
    <w:rsid w:val="00A3727C"/>
    <w:rsid w:val="00A50103"/>
    <w:rsid w:val="00A5316A"/>
    <w:rsid w:val="00A56D89"/>
    <w:rsid w:val="00A60732"/>
    <w:rsid w:val="00A60976"/>
    <w:rsid w:val="00A66E54"/>
    <w:rsid w:val="00A82A40"/>
    <w:rsid w:val="00A82A8D"/>
    <w:rsid w:val="00A92164"/>
    <w:rsid w:val="00AA386C"/>
    <w:rsid w:val="00AC3E23"/>
    <w:rsid w:val="00AD49A8"/>
    <w:rsid w:val="00AD68C0"/>
    <w:rsid w:val="00AD6BF1"/>
    <w:rsid w:val="00AD74B5"/>
    <w:rsid w:val="00AE623E"/>
    <w:rsid w:val="00AE6243"/>
    <w:rsid w:val="00AF13D2"/>
    <w:rsid w:val="00AF3354"/>
    <w:rsid w:val="00AF423E"/>
    <w:rsid w:val="00AF7264"/>
    <w:rsid w:val="00B00C48"/>
    <w:rsid w:val="00B02CB6"/>
    <w:rsid w:val="00B1272E"/>
    <w:rsid w:val="00B376AC"/>
    <w:rsid w:val="00B4635E"/>
    <w:rsid w:val="00B50B91"/>
    <w:rsid w:val="00B60499"/>
    <w:rsid w:val="00B75FCF"/>
    <w:rsid w:val="00B77652"/>
    <w:rsid w:val="00B80119"/>
    <w:rsid w:val="00B817AA"/>
    <w:rsid w:val="00B8285E"/>
    <w:rsid w:val="00B91435"/>
    <w:rsid w:val="00B92C5A"/>
    <w:rsid w:val="00B94240"/>
    <w:rsid w:val="00B95218"/>
    <w:rsid w:val="00B95EDF"/>
    <w:rsid w:val="00BA7061"/>
    <w:rsid w:val="00BB4A5D"/>
    <w:rsid w:val="00BB59FA"/>
    <w:rsid w:val="00BB5C95"/>
    <w:rsid w:val="00BB5E36"/>
    <w:rsid w:val="00BE0FE8"/>
    <w:rsid w:val="00BE719F"/>
    <w:rsid w:val="00C01739"/>
    <w:rsid w:val="00C16B68"/>
    <w:rsid w:val="00C1730E"/>
    <w:rsid w:val="00C26EC7"/>
    <w:rsid w:val="00C439B3"/>
    <w:rsid w:val="00C464DF"/>
    <w:rsid w:val="00C63110"/>
    <w:rsid w:val="00C649BB"/>
    <w:rsid w:val="00C71768"/>
    <w:rsid w:val="00C742BD"/>
    <w:rsid w:val="00C74316"/>
    <w:rsid w:val="00C74CF8"/>
    <w:rsid w:val="00C74D21"/>
    <w:rsid w:val="00C771C3"/>
    <w:rsid w:val="00C82F43"/>
    <w:rsid w:val="00C95E52"/>
    <w:rsid w:val="00CA6016"/>
    <w:rsid w:val="00CA732F"/>
    <w:rsid w:val="00CB2772"/>
    <w:rsid w:val="00CB2A5B"/>
    <w:rsid w:val="00CB36B1"/>
    <w:rsid w:val="00CB6A86"/>
    <w:rsid w:val="00CC1D44"/>
    <w:rsid w:val="00CD10D5"/>
    <w:rsid w:val="00CE57B6"/>
    <w:rsid w:val="00CF7888"/>
    <w:rsid w:val="00D013D6"/>
    <w:rsid w:val="00D02726"/>
    <w:rsid w:val="00D05B27"/>
    <w:rsid w:val="00D078A7"/>
    <w:rsid w:val="00D121DA"/>
    <w:rsid w:val="00D1423D"/>
    <w:rsid w:val="00D14978"/>
    <w:rsid w:val="00D162EA"/>
    <w:rsid w:val="00D22E5B"/>
    <w:rsid w:val="00D2555F"/>
    <w:rsid w:val="00D334A5"/>
    <w:rsid w:val="00D35B7C"/>
    <w:rsid w:val="00D36B61"/>
    <w:rsid w:val="00D37BBA"/>
    <w:rsid w:val="00D40661"/>
    <w:rsid w:val="00D43529"/>
    <w:rsid w:val="00D457F6"/>
    <w:rsid w:val="00D53B14"/>
    <w:rsid w:val="00D53CD3"/>
    <w:rsid w:val="00D55EFC"/>
    <w:rsid w:val="00D63525"/>
    <w:rsid w:val="00D64595"/>
    <w:rsid w:val="00D747EE"/>
    <w:rsid w:val="00D817BC"/>
    <w:rsid w:val="00D83C2C"/>
    <w:rsid w:val="00D84A30"/>
    <w:rsid w:val="00D87F74"/>
    <w:rsid w:val="00D93609"/>
    <w:rsid w:val="00DA7965"/>
    <w:rsid w:val="00DB5CA7"/>
    <w:rsid w:val="00DB7941"/>
    <w:rsid w:val="00DC06F6"/>
    <w:rsid w:val="00DD3A67"/>
    <w:rsid w:val="00DD5035"/>
    <w:rsid w:val="00DE0CFA"/>
    <w:rsid w:val="00DE6DB1"/>
    <w:rsid w:val="00DE6F4B"/>
    <w:rsid w:val="00DE7B2B"/>
    <w:rsid w:val="00DF5204"/>
    <w:rsid w:val="00E016FF"/>
    <w:rsid w:val="00E03899"/>
    <w:rsid w:val="00E23F7F"/>
    <w:rsid w:val="00E24F5F"/>
    <w:rsid w:val="00E25CF8"/>
    <w:rsid w:val="00E321F2"/>
    <w:rsid w:val="00E406A7"/>
    <w:rsid w:val="00E40763"/>
    <w:rsid w:val="00E4312B"/>
    <w:rsid w:val="00E446B5"/>
    <w:rsid w:val="00E46122"/>
    <w:rsid w:val="00E478CC"/>
    <w:rsid w:val="00E54CCB"/>
    <w:rsid w:val="00E553CC"/>
    <w:rsid w:val="00E67C88"/>
    <w:rsid w:val="00E71326"/>
    <w:rsid w:val="00E77EBC"/>
    <w:rsid w:val="00E81ECA"/>
    <w:rsid w:val="00E843FD"/>
    <w:rsid w:val="00E85109"/>
    <w:rsid w:val="00E854DD"/>
    <w:rsid w:val="00E86020"/>
    <w:rsid w:val="00E93228"/>
    <w:rsid w:val="00E96AF9"/>
    <w:rsid w:val="00E97EFE"/>
    <w:rsid w:val="00EA097A"/>
    <w:rsid w:val="00EA309B"/>
    <w:rsid w:val="00EA700A"/>
    <w:rsid w:val="00EB1CA4"/>
    <w:rsid w:val="00EB5A0F"/>
    <w:rsid w:val="00EB7852"/>
    <w:rsid w:val="00EC58E8"/>
    <w:rsid w:val="00ED0A29"/>
    <w:rsid w:val="00ED3B2A"/>
    <w:rsid w:val="00ED43E6"/>
    <w:rsid w:val="00EE0D67"/>
    <w:rsid w:val="00EE6F9C"/>
    <w:rsid w:val="00EF1BAB"/>
    <w:rsid w:val="00EF1D5E"/>
    <w:rsid w:val="00EF2587"/>
    <w:rsid w:val="00F051BB"/>
    <w:rsid w:val="00F177EC"/>
    <w:rsid w:val="00F21D6E"/>
    <w:rsid w:val="00F22BB4"/>
    <w:rsid w:val="00F25931"/>
    <w:rsid w:val="00F264B3"/>
    <w:rsid w:val="00F35D5E"/>
    <w:rsid w:val="00F35DD9"/>
    <w:rsid w:val="00F379AD"/>
    <w:rsid w:val="00F5592B"/>
    <w:rsid w:val="00F57A81"/>
    <w:rsid w:val="00F60A4E"/>
    <w:rsid w:val="00F742C1"/>
    <w:rsid w:val="00FA1275"/>
    <w:rsid w:val="00FA3088"/>
    <w:rsid w:val="00FA635E"/>
    <w:rsid w:val="00FA7842"/>
    <w:rsid w:val="00FB5FF2"/>
    <w:rsid w:val="00FC11E5"/>
    <w:rsid w:val="00FC1555"/>
    <w:rsid w:val="00FC47D6"/>
    <w:rsid w:val="00FC795A"/>
    <w:rsid w:val="00FD1068"/>
    <w:rsid w:val="00FD1353"/>
    <w:rsid w:val="00FD757A"/>
    <w:rsid w:val="00FE146B"/>
    <w:rsid w:val="00FE3AE1"/>
    <w:rsid w:val="00FF42A7"/>
    <w:rsid w:val="057053F4"/>
    <w:rsid w:val="0B884351"/>
    <w:rsid w:val="147FA627"/>
    <w:rsid w:val="1D2547F1"/>
    <w:rsid w:val="1E7A054B"/>
    <w:rsid w:val="49CD73AA"/>
    <w:rsid w:val="4DEEF6F8"/>
    <w:rsid w:val="514D211B"/>
    <w:rsid w:val="57560282"/>
    <w:rsid w:val="67D00FEF"/>
    <w:rsid w:val="6F2FCD66"/>
    <w:rsid w:val="70541671"/>
    <w:rsid w:val="728A2B56"/>
    <w:rsid w:val="7FFF2482"/>
    <w:rsid w:val="7FFFF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A285E5"/>
  <w15:docId w15:val="{55FA1384-C314-9A40-8D7F-BAC66F6F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2"/>
    <w:next w:val="a"/>
    <w:link w:val="10"/>
    <w:uiPriority w:val="9"/>
    <w:qFormat/>
    <w:pPr>
      <w:outlineLvl w:val="0"/>
    </w:pPr>
    <w:rPr>
      <w:sz w:val="44"/>
    </w:rPr>
  </w:style>
  <w:style w:type="paragraph" w:styleId="2">
    <w:name w:val="heading 2"/>
    <w:basedOn w:val="3"/>
    <w:next w:val="a"/>
    <w:link w:val="20"/>
    <w:qFormat/>
    <w:pPr>
      <w:outlineLvl w:val="1"/>
    </w:pPr>
  </w:style>
  <w:style w:type="paragraph" w:styleId="3">
    <w:name w:val="heading 3"/>
    <w:basedOn w:val="TOC2"/>
    <w:next w:val="a"/>
    <w:link w:val="30"/>
    <w:qFormat/>
    <w:pPr>
      <w:ind w:leftChars="0" w:left="0" w:firstLineChars="200" w:firstLine="600"/>
      <w:jc w:val="left"/>
      <w:outlineLvl w:val="2"/>
    </w:pPr>
    <w:rPr>
      <w:rFonts w:ascii="黑体" w:eastAsia="黑体" w:hAnsi="黑体" w:cs="Times New Roman"/>
      <w:smallCap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uiPriority w:val="39"/>
    <w:semiHidden/>
    <w:unhideWhenUsed/>
    <w:qFormat/>
    <w:pPr>
      <w:ind w:leftChars="200" w:left="420"/>
    </w:pPr>
  </w:style>
  <w:style w:type="paragraph" w:styleId="a3">
    <w:name w:val="annotation text"/>
    <w:basedOn w:val="a"/>
    <w:link w:val="a4"/>
    <w:uiPriority w:val="99"/>
    <w:unhideWhenUsed/>
    <w:qFormat/>
    <w:pPr>
      <w:jc w:val="left"/>
    </w:pPr>
  </w:style>
  <w:style w:type="paragraph" w:styleId="a5">
    <w:name w:val="Body Text"/>
    <w:basedOn w:val="a"/>
    <w:link w:val="a6"/>
    <w:uiPriority w:val="99"/>
    <w:semiHidden/>
    <w:unhideWhenUsed/>
    <w:qFormat/>
    <w:pPr>
      <w:spacing w:after="1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style>
  <w:style w:type="paragraph" w:styleId="ad">
    <w:name w:val="Title"/>
    <w:basedOn w:val="a5"/>
    <w:next w:val="a"/>
    <w:link w:val="ae"/>
    <w:qFormat/>
    <w:pPr>
      <w:jc w:val="center"/>
    </w:pPr>
    <w:rPr>
      <w:rFonts w:ascii="仿宋_GB2312" w:eastAsia="仿宋_GB2312" w:hAnsi="仿宋" w:cs="Times New Roman"/>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Paragraph">
    <w:name w:val="Paragraph"/>
    <w:basedOn w:val="a"/>
    <w:qFormat/>
    <w:pPr>
      <w:widowControl/>
      <w:spacing w:after="240"/>
    </w:pPr>
    <w:rPr>
      <w:rFonts w:ascii="Arial" w:eastAsia="宋体" w:hAnsi="Arial" w:cs="Times New Roman"/>
      <w:kern w:val="0"/>
      <w:sz w:val="22"/>
      <w:szCs w:val="20"/>
      <w:lang w:val="en-GB"/>
    </w:rPr>
  </w:style>
  <w:style w:type="paragraph" w:customStyle="1" w:styleId="11">
    <w:name w:val="列出段落1"/>
    <w:basedOn w:val="a"/>
    <w:uiPriority w:val="34"/>
    <w:qFormat/>
    <w:pPr>
      <w:ind w:firstLineChars="200" w:firstLine="420"/>
    </w:pPr>
    <w:rPr>
      <w:rFonts w:ascii="Times New Roman" w:eastAsia="宋体" w:hAnsi="Times New Roman" w:cs="Times New Roman"/>
      <w:szCs w:val="20"/>
    </w:rPr>
  </w:style>
  <w:style w:type="paragraph" w:customStyle="1" w:styleId="12">
    <w:name w:val="修订1"/>
    <w:hidden/>
    <w:uiPriority w:val="99"/>
    <w:semiHidden/>
    <w:qFormat/>
    <w:rPr>
      <w:kern w:val="2"/>
      <w:sz w:val="21"/>
      <w:szCs w:val="22"/>
    </w:rPr>
  </w:style>
  <w:style w:type="character" w:customStyle="1" w:styleId="ae">
    <w:name w:val="标题 字符"/>
    <w:basedOn w:val="a0"/>
    <w:link w:val="ad"/>
    <w:qFormat/>
    <w:rPr>
      <w:rFonts w:ascii="仿宋_GB2312" w:eastAsia="仿宋_GB2312" w:hAnsi="仿宋" w:cs="Times New Roman"/>
      <w:kern w:val="2"/>
      <w:sz w:val="21"/>
      <w:szCs w:val="24"/>
    </w:rPr>
  </w:style>
  <w:style w:type="character" w:customStyle="1" w:styleId="a6">
    <w:name w:val="正文文本 字符"/>
    <w:basedOn w:val="a0"/>
    <w:link w:val="a5"/>
    <w:uiPriority w:val="99"/>
    <w:semiHidden/>
    <w:qFormat/>
    <w:rPr>
      <w:kern w:val="2"/>
      <w:sz w:val="21"/>
      <w:szCs w:val="22"/>
    </w:rPr>
  </w:style>
  <w:style w:type="character" w:customStyle="1" w:styleId="a8">
    <w:name w:val="批注框文本 字符"/>
    <w:basedOn w:val="a0"/>
    <w:link w:val="a7"/>
    <w:uiPriority w:val="99"/>
    <w:semiHidden/>
    <w:qFormat/>
    <w:rPr>
      <w:kern w:val="2"/>
      <w:sz w:val="18"/>
      <w:szCs w:val="18"/>
    </w:rPr>
  </w:style>
  <w:style w:type="character" w:customStyle="1" w:styleId="20">
    <w:name w:val="标题 2 字符"/>
    <w:basedOn w:val="a0"/>
    <w:link w:val="2"/>
    <w:qFormat/>
    <w:rPr>
      <w:rFonts w:ascii="黑体" w:eastAsia="黑体" w:hAnsi="黑体" w:cs="Times New Roman"/>
      <w:smallCaps/>
      <w:kern w:val="2"/>
      <w:sz w:val="30"/>
      <w:szCs w:val="30"/>
    </w:rPr>
  </w:style>
  <w:style w:type="character" w:customStyle="1" w:styleId="10">
    <w:name w:val="标题 1 字符"/>
    <w:basedOn w:val="a0"/>
    <w:link w:val="1"/>
    <w:uiPriority w:val="9"/>
    <w:qFormat/>
    <w:rPr>
      <w:rFonts w:ascii="黑体" w:eastAsia="黑体" w:hAnsi="黑体" w:cs="Times New Roman"/>
      <w:bCs/>
      <w:caps/>
      <w:kern w:val="2"/>
      <w:sz w:val="44"/>
      <w:szCs w:val="32"/>
    </w:rPr>
  </w:style>
  <w:style w:type="character" w:customStyle="1" w:styleId="30">
    <w:name w:val="标题 3 字符"/>
    <w:basedOn w:val="a0"/>
    <w:link w:val="3"/>
    <w:qFormat/>
    <w:rPr>
      <w:rFonts w:ascii="黑体" w:eastAsia="黑体" w:hAnsi="黑体" w:cs="Times New Roman"/>
      <w:smallCaps/>
      <w:kern w:val="2"/>
      <w:sz w:val="30"/>
      <w:szCs w:val="30"/>
    </w:rPr>
  </w:style>
  <w:style w:type="character" w:customStyle="1" w:styleId="a4">
    <w:name w:val="批注文字 字符"/>
    <w:basedOn w:val="a0"/>
    <w:link w:val="a3"/>
    <w:uiPriority w:val="99"/>
    <w:qFormat/>
    <w:rPr>
      <w:kern w:val="2"/>
      <w:sz w:val="21"/>
      <w:szCs w:val="22"/>
    </w:rPr>
  </w:style>
  <w:style w:type="character" w:customStyle="1" w:styleId="af0">
    <w:name w:val="批注主题 字符"/>
    <w:basedOn w:val="a4"/>
    <w:link w:val="af"/>
    <w:uiPriority w:val="99"/>
    <w:semiHidden/>
    <w:qFormat/>
    <w:rPr>
      <w:b/>
      <w:bCs/>
      <w:kern w:val="2"/>
      <w:sz w:val="21"/>
      <w:szCs w:val="22"/>
    </w:rPr>
  </w:style>
  <w:style w:type="paragraph" w:customStyle="1" w:styleId="21">
    <w:name w:val="修订2"/>
    <w:hidden/>
    <w:uiPriority w:val="99"/>
    <w:semiHidden/>
    <w:qFormat/>
    <w:rPr>
      <w:kern w:val="2"/>
      <w:sz w:val="21"/>
      <w:szCs w:val="22"/>
    </w:rPr>
  </w:style>
  <w:style w:type="paragraph" w:customStyle="1" w:styleId="31">
    <w:name w:val="修订3"/>
    <w:hidden/>
    <w:uiPriority w:val="99"/>
    <w:unhideWhenUsed/>
    <w:qFormat/>
    <w:rPr>
      <w:kern w:val="2"/>
      <w:sz w:val="21"/>
      <w:szCs w:val="22"/>
    </w:rPr>
  </w:style>
  <w:style w:type="paragraph" w:customStyle="1" w:styleId="Default">
    <w:name w:val="Default"/>
    <w:qFormat/>
    <w:pPr>
      <w:ind w:firstLine="800"/>
    </w:pPr>
    <w:rPr>
      <w:rFonts w:ascii="Times" w:eastAsia="宋体" w:hAnsi="Times" w:cs="Arial Unicode MS"/>
      <w:color w:val="333333"/>
      <w:sz w:val="40"/>
      <w:szCs w:val="40"/>
    </w:rPr>
  </w:style>
  <w:style w:type="paragraph" w:customStyle="1" w:styleId="4">
    <w:name w:val="修订4"/>
    <w:hidden/>
    <w:uiPriority w:val="99"/>
    <w:semiHidden/>
    <w:qFormat/>
    <w:rPr>
      <w:kern w:val="2"/>
      <w:sz w:val="21"/>
      <w:szCs w:val="22"/>
    </w:rPr>
  </w:style>
  <w:style w:type="character" w:styleId="af3">
    <w:name w:val="Placeholder Text"/>
    <w:basedOn w:val="a0"/>
    <w:uiPriority w:val="99"/>
    <w:semiHidden/>
    <w:qFormat/>
    <w:rPr>
      <w:color w:val="808080"/>
    </w:rPr>
  </w:style>
  <w:style w:type="paragraph" w:styleId="af4">
    <w:name w:val="List Paragraph"/>
    <w:basedOn w:val="a"/>
    <w:uiPriority w:val="99"/>
    <w:qFormat/>
    <w:pPr>
      <w:ind w:firstLineChars="200" w:firstLine="420"/>
    </w:pPr>
  </w:style>
  <w:style w:type="paragraph" w:customStyle="1" w:styleId="5">
    <w:name w:val="修订5"/>
    <w:hidden/>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oleObject" Target="embeddings/oleObject1.bin"/><Relationship Id="rId42" Type="http://schemas.openxmlformats.org/officeDocument/2006/relationships/oleObject" Target="embeddings/oleObject2.bin"/><Relationship Id="rId47" Type="http://schemas.openxmlformats.org/officeDocument/2006/relationships/image" Target="media/image38.wmf"/><Relationship Id="rId63" Type="http://schemas.openxmlformats.org/officeDocument/2006/relationships/image" Target="media/image46.wmf"/><Relationship Id="rId68" Type="http://schemas.openxmlformats.org/officeDocument/2006/relationships/oleObject" Target="embeddings/oleObject15.bin"/><Relationship Id="rId7" Type="http://schemas.openxmlformats.org/officeDocument/2006/relationships/image" Target="media/image2.wmf"/><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wmf"/><Relationship Id="rId29" Type="http://schemas.openxmlformats.org/officeDocument/2006/relationships/image" Target="media/image23.wmf"/><Relationship Id="rId11" Type="http://schemas.openxmlformats.org/officeDocument/2006/relationships/image" Target="media/image6.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7.wmf"/><Relationship Id="rId53" Type="http://schemas.openxmlformats.org/officeDocument/2006/relationships/image" Target="media/image41.wmf"/><Relationship Id="rId58" Type="http://schemas.openxmlformats.org/officeDocument/2006/relationships/oleObject" Target="embeddings/oleObject10.bin"/><Relationship Id="rId66" Type="http://schemas.openxmlformats.org/officeDocument/2006/relationships/oleObject" Target="embeddings/oleObject14.bin"/><Relationship Id="rId5" Type="http://schemas.openxmlformats.org/officeDocument/2006/relationships/endnotes" Target="endnotes.xml"/><Relationship Id="rId61" Type="http://schemas.openxmlformats.org/officeDocument/2006/relationships/image" Target="media/image45.wmf"/><Relationship Id="rId19" Type="http://schemas.openxmlformats.org/officeDocument/2006/relationships/image" Target="media/image14.wmf"/><Relationship Id="rId14" Type="http://schemas.openxmlformats.org/officeDocument/2006/relationships/image" Target="media/image9.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6.wmf"/><Relationship Id="rId48" Type="http://schemas.openxmlformats.org/officeDocument/2006/relationships/oleObject" Target="embeddings/oleObject5.bin"/><Relationship Id="rId56" Type="http://schemas.openxmlformats.org/officeDocument/2006/relationships/oleObject" Target="embeddings/oleObject9.bin"/><Relationship Id="rId64" Type="http://schemas.openxmlformats.org/officeDocument/2006/relationships/oleObject" Target="embeddings/oleObject13.bin"/><Relationship Id="rId69" Type="http://schemas.openxmlformats.org/officeDocument/2006/relationships/footer" Target="footer1.xml"/><Relationship Id="rId8" Type="http://schemas.openxmlformats.org/officeDocument/2006/relationships/image" Target="media/image3.wmf"/><Relationship Id="rId51" Type="http://schemas.openxmlformats.org/officeDocument/2006/relationships/image" Target="media/image40.wmf"/><Relationship Id="rId3" Type="http://schemas.openxmlformats.org/officeDocument/2006/relationships/webSettings" Target="webSetting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oleObject" Target="embeddings/oleObject4.bin"/><Relationship Id="rId59" Type="http://schemas.openxmlformats.org/officeDocument/2006/relationships/image" Target="media/image44.wmf"/><Relationship Id="rId67" Type="http://schemas.openxmlformats.org/officeDocument/2006/relationships/image" Target="media/image48.wmf"/><Relationship Id="rId20" Type="http://schemas.openxmlformats.org/officeDocument/2006/relationships/image" Target="media/image15.wmf"/><Relationship Id="rId41" Type="http://schemas.openxmlformats.org/officeDocument/2006/relationships/image" Target="media/image35.wmf"/><Relationship Id="rId54" Type="http://schemas.openxmlformats.org/officeDocument/2006/relationships/oleObject" Target="embeddings/oleObject8.bin"/><Relationship Id="rId62" Type="http://schemas.openxmlformats.org/officeDocument/2006/relationships/oleObject" Target="embeddings/oleObject12.bin"/><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39.wmf"/><Relationship Id="rId57" Type="http://schemas.openxmlformats.org/officeDocument/2006/relationships/image" Target="media/image43.wmf"/><Relationship Id="rId10" Type="http://schemas.openxmlformats.org/officeDocument/2006/relationships/image" Target="media/image5.wmf"/><Relationship Id="rId31" Type="http://schemas.openxmlformats.org/officeDocument/2006/relationships/image" Target="media/image25.wmf"/><Relationship Id="rId44" Type="http://schemas.openxmlformats.org/officeDocument/2006/relationships/oleObject" Target="embeddings/oleObject3.bin"/><Relationship Id="rId52" Type="http://schemas.openxmlformats.org/officeDocument/2006/relationships/oleObject" Target="embeddings/oleObject7.bin"/><Relationship Id="rId60" Type="http://schemas.openxmlformats.org/officeDocument/2006/relationships/oleObject" Target="embeddings/oleObject11.bin"/><Relationship Id="rId65" Type="http://schemas.openxmlformats.org/officeDocument/2006/relationships/image" Target="media/image47.wmf"/><Relationship Id="rId4" Type="http://schemas.openxmlformats.org/officeDocument/2006/relationships/footnotes" Target="footnote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oleObject" Target="embeddings/oleObject6.bin"/><Relationship Id="rId55" Type="http://schemas.openxmlformats.org/officeDocument/2006/relationships/image" Target="media/image4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16</Pages>
  <Words>1386</Words>
  <Characters>7901</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xiao</dc:creator>
  <cp:lastModifiedBy>梁爽</cp:lastModifiedBy>
  <cp:revision>34</cp:revision>
  <dcterms:created xsi:type="dcterms:W3CDTF">2023-10-22T08:44:00Z</dcterms:created>
  <dcterms:modified xsi:type="dcterms:W3CDTF">2023-11-10T08:49:00Z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498FCE9F4CA54E8BAEEFAB222BD5955B</vt:lpwstr>
  </property>
</Properties>
</file>